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63FE" w:rsidRDefault="00BC63FE" w:rsidP="005A6BDD">
      <w:pPr>
        <w:bidi/>
        <w:rPr>
          <w:rtl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  <w:rPr>
          <w:rtl/>
        </w:rPr>
      </w:pPr>
    </w:p>
    <w:p w:rsidR="00F0166F" w:rsidRDefault="00F0166F" w:rsidP="00F0166F">
      <w:pPr>
        <w:bidi/>
      </w:pPr>
    </w:p>
    <w:p w:rsidR="00BC63FE" w:rsidRDefault="004A0E44" w:rsidP="005A6BDD">
      <w:pPr>
        <w:bidi/>
        <w:jc w:val="left"/>
        <w:rPr>
          <w:rtl/>
        </w:rPr>
      </w:pPr>
      <w:r w:rsidRPr="004A0E44">
        <w:rPr>
          <w:rtl/>
        </w:rPr>
        <w:t>تعد قائمة التدقيق هذه أداة مساعدة لتحديد الأسباب المحتملة لوقوع الحوادث.</w:t>
      </w:r>
      <w:r>
        <w:rPr>
          <w:rFonts w:hint="cs"/>
          <w:rtl/>
        </w:rPr>
        <w:t xml:space="preserve"> </w:t>
      </w:r>
      <w:r w:rsidR="00404765" w:rsidRPr="00404765">
        <w:rPr>
          <w:rtl/>
        </w:rPr>
        <w:t>الغرض منها هو اعتبارها مجرد دليل مرجعي للعوامل التي يجب مراعتها عند تحديد أسباب وقوع الحوادث.</w:t>
      </w:r>
      <w:r w:rsidR="00404765">
        <w:rPr>
          <w:rFonts w:hint="cs"/>
          <w:rtl/>
        </w:rPr>
        <w:t xml:space="preserve"> </w:t>
      </w:r>
      <w:r w:rsidR="0099523C" w:rsidRPr="0099523C">
        <w:rPr>
          <w:rtl/>
        </w:rPr>
        <w:t>استخدم قائمة التدقيق هذه كدليل توجيهي لتقييم الأسباب المحتملة لوقوع حادث ما.</w:t>
      </w:r>
    </w:p>
    <w:p w:rsidR="004A0E44" w:rsidRPr="00C9479E" w:rsidRDefault="004A0E44" w:rsidP="004A0E44">
      <w:pPr>
        <w:bidi/>
        <w:jc w:val="left"/>
        <w:rPr>
          <w:lang w:bidi="ar-EG"/>
        </w:rPr>
      </w:pPr>
    </w:p>
    <w:p w:rsidR="00BF640F" w:rsidRDefault="00BF640F" w:rsidP="006F7030">
      <w:pPr>
        <w:bidi/>
        <w:jc w:val="left"/>
        <w:rPr>
          <w:rtl/>
        </w:rPr>
      </w:pPr>
      <w:r w:rsidRPr="00BF640F">
        <w:rPr>
          <w:b/>
          <w:bCs/>
          <w:rtl/>
        </w:rPr>
        <w:t xml:space="preserve">تعليمات لاستخدام قائمة تدقيق العوامل </w:t>
      </w:r>
      <w:r w:rsidR="006F7030">
        <w:rPr>
          <w:rFonts w:hint="cs"/>
          <w:b/>
          <w:bCs/>
          <w:rtl/>
        </w:rPr>
        <w:t>السببية</w:t>
      </w:r>
      <w:r w:rsidRPr="00BF640F">
        <w:rPr>
          <w:b/>
          <w:bCs/>
          <w:rtl/>
        </w:rPr>
        <w:t>:</w:t>
      </w:r>
    </w:p>
    <w:p w:rsidR="00BF640F" w:rsidRDefault="00BF640F" w:rsidP="00BF640F">
      <w:pPr>
        <w:bidi/>
        <w:jc w:val="left"/>
      </w:pPr>
    </w:p>
    <w:p w:rsidR="00BB1D8C" w:rsidRDefault="00BB1D8C" w:rsidP="006F7030">
      <w:pPr>
        <w:numPr>
          <w:ilvl w:val="0"/>
          <w:numId w:val="15"/>
        </w:numPr>
        <w:bidi/>
        <w:jc w:val="left"/>
      </w:pPr>
      <w:r w:rsidRPr="00BB1D8C">
        <w:rPr>
          <w:rtl/>
        </w:rPr>
        <w:t xml:space="preserve">باستخدام الصفحة 2 من قائمة التدقيق، يحدد فريق التحقيق مختلف العوامل </w:t>
      </w:r>
      <w:r w:rsidR="006F7030">
        <w:rPr>
          <w:rFonts w:hint="cs"/>
          <w:rtl/>
        </w:rPr>
        <w:t>السببية</w:t>
      </w:r>
      <w:r w:rsidRPr="00BB1D8C">
        <w:rPr>
          <w:rtl/>
        </w:rPr>
        <w:t xml:space="preserve"> المحتملة المرتبطة بالحادث المذكور. </w:t>
      </w:r>
    </w:p>
    <w:p w:rsidR="00AF4DB9" w:rsidRDefault="00AF4DB9" w:rsidP="00AF4DB9">
      <w:pPr>
        <w:numPr>
          <w:ilvl w:val="0"/>
          <w:numId w:val="15"/>
        </w:numPr>
        <w:bidi/>
        <w:jc w:val="left"/>
      </w:pPr>
      <w:r w:rsidRPr="00AF4DB9">
        <w:rPr>
          <w:rtl/>
        </w:rPr>
        <w:t>يتم وضع علامة بجوار الرقم الذي يتوافق مع العامل المسبب المحدد.</w:t>
      </w:r>
    </w:p>
    <w:p w:rsidR="009C17D8" w:rsidRDefault="00E01B1E" w:rsidP="006F7030">
      <w:pPr>
        <w:numPr>
          <w:ilvl w:val="0"/>
          <w:numId w:val="15"/>
        </w:numPr>
        <w:bidi/>
        <w:jc w:val="left"/>
      </w:pPr>
      <w:r w:rsidRPr="00E01B1E">
        <w:rPr>
          <w:rtl/>
        </w:rPr>
        <w:t xml:space="preserve">باستخدام صفحة 1 من قائمة التدقيق، يحدد فريق التحقيق كافة العوامل </w:t>
      </w:r>
      <w:r w:rsidR="006F7030">
        <w:rPr>
          <w:rFonts w:hint="cs"/>
          <w:rtl/>
        </w:rPr>
        <w:t>السببية</w:t>
      </w:r>
      <w:r w:rsidRPr="00E01B1E">
        <w:rPr>
          <w:rtl/>
        </w:rPr>
        <w:t xml:space="preserve"> التي تم فحصها، بواسطة الأرقام الملحقة (من الصفحة 2 من قائمة التدقيق)، لتحديد فئات أسباب الحادث المذكور.</w:t>
      </w:r>
    </w:p>
    <w:p w:rsidR="00BC63FE" w:rsidRDefault="009C17D8" w:rsidP="009C17D8">
      <w:pPr>
        <w:numPr>
          <w:ilvl w:val="0"/>
          <w:numId w:val="15"/>
        </w:numPr>
        <w:bidi/>
        <w:jc w:val="left"/>
      </w:pPr>
      <w:r w:rsidRPr="009C17D8">
        <w:rPr>
          <w:rtl/>
        </w:rPr>
        <w:t>بعد ذلك يتم إدخال فئات الأسباب المحددة باستخدام قائمة التدقيق هذه في نموذج التحقيق.</w:t>
      </w:r>
      <w:r w:rsidR="00BC63FE" w:rsidRPr="009C17D8">
        <w:rPr>
          <w:sz w:val="22"/>
        </w:rPr>
        <w:t xml:space="preserve"> </w:t>
      </w:r>
    </w:p>
    <w:p w:rsidR="009C17D8" w:rsidRPr="00C9479E" w:rsidRDefault="009C17D8" w:rsidP="009C17D8">
      <w:pPr>
        <w:bidi/>
        <w:ind w:left="360"/>
        <w:jc w:val="left"/>
      </w:pPr>
    </w:p>
    <w:tbl>
      <w:tblPr>
        <w:bidiVisual/>
        <w:tblW w:w="10728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6871"/>
      </w:tblGrid>
      <w:tr w:rsidR="00BC63FE" w:rsidRPr="00C9479E" w:rsidTr="00CE477B">
        <w:trPr>
          <w:cantSplit/>
          <w:trHeight w:val="388"/>
          <w:tblHeader/>
          <w:jc w:val="center"/>
        </w:trPr>
        <w:tc>
          <w:tcPr>
            <w:tcW w:w="107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BC63FE" w:rsidRPr="00C9479E" w:rsidRDefault="009371B8" w:rsidP="0078635E">
            <w:pPr>
              <w:bidi/>
              <w:spacing w:before="90" w:after="60"/>
              <w:jc w:val="center"/>
              <w:rPr>
                <w:b/>
                <w:bCs/>
              </w:rPr>
            </w:pPr>
            <w:r w:rsidRPr="009371B8">
              <w:rPr>
                <w:b/>
                <w:bCs/>
                <w:rtl/>
              </w:rPr>
              <w:t xml:space="preserve">فئات العوامل </w:t>
            </w:r>
            <w:r w:rsidR="0078635E">
              <w:rPr>
                <w:rFonts w:hint="cs"/>
                <w:b/>
                <w:bCs/>
                <w:rtl/>
              </w:rPr>
              <w:t>السببية</w:t>
            </w:r>
          </w:p>
        </w:tc>
      </w:tr>
      <w:tr w:rsidR="00BC63FE" w:rsidRPr="00C9479E" w:rsidTr="00CE477B">
        <w:trPr>
          <w:cantSplit/>
          <w:trHeight w:val="325"/>
          <w:jc w:val="center"/>
        </w:trPr>
        <w:tc>
          <w:tcPr>
            <w:tcW w:w="385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C63FE" w:rsidRPr="00C9479E" w:rsidRDefault="00CC7939" w:rsidP="005A6BDD">
            <w:pPr>
              <w:bidi/>
              <w:spacing w:before="80" w:after="60"/>
              <w:jc w:val="left"/>
            </w:pPr>
            <w:r>
              <w:rPr>
                <w:rFonts w:hint="cs"/>
                <w:rtl/>
              </w:rPr>
              <w:t>فئات العوامل</w:t>
            </w:r>
          </w:p>
        </w:tc>
        <w:tc>
          <w:tcPr>
            <w:tcW w:w="687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C63FE" w:rsidRPr="00C9479E" w:rsidRDefault="00CD1219" w:rsidP="0078635E">
            <w:pPr>
              <w:bidi/>
              <w:spacing w:before="80" w:after="60"/>
              <w:jc w:val="left"/>
            </w:pPr>
            <w:r w:rsidRPr="00CD1219">
              <w:rPr>
                <w:rtl/>
              </w:rPr>
              <w:t xml:space="preserve">روابط العوامل </w:t>
            </w:r>
            <w:r w:rsidR="0078635E">
              <w:rPr>
                <w:rFonts w:hint="cs"/>
                <w:rtl/>
              </w:rPr>
              <w:t>السببية</w:t>
            </w:r>
            <w:r w:rsidRPr="00CD1219">
              <w:rPr>
                <w:rtl/>
              </w:rPr>
              <w:t xml:space="preserve"> (عناصر قائمة التدقيق)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4B666F" w:rsidP="005A6BDD">
            <w:pPr>
              <w:bidi/>
              <w:spacing w:before="80" w:after="60"/>
              <w:jc w:val="left"/>
            </w:pPr>
            <w:r>
              <w:rPr>
                <w:rFonts w:hint="cs"/>
                <w:rtl/>
              </w:rPr>
              <w:t>التخطيط وتقييم المخاطر</w:t>
            </w:r>
            <w:r w:rsidR="00BC63FE" w:rsidRPr="00C9479E">
              <w:t xml:space="preserve"> 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5.1; 5.3; 5.5; 5.7; 6.2; 6.5; 7.1–7.11; 12.1; 15.4; 17.3; 17.4; 20.1; 20.2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855135" w:rsidP="005A6BDD">
            <w:pPr>
              <w:bidi/>
              <w:spacing w:before="80" w:after="60"/>
              <w:jc w:val="left"/>
            </w:pPr>
            <w:r w:rsidRPr="00855135">
              <w:rPr>
                <w:rtl/>
              </w:rPr>
              <w:t>الأشخاص/ السلوكيات والتدريب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 xml:space="preserve">1.1; 1.2; 1.4; 1.7; 1.9; 2.1–2.7; 3.1–3.7; 4.1–4.9; 6.3; 6.6; 9.1–9.11; </w:t>
            </w:r>
            <w:r w:rsidRPr="00C9479E">
              <w:rPr>
                <w:lang w:val="en-GB"/>
              </w:rPr>
              <w:br/>
            </w:r>
            <w:r w:rsidRPr="00C9479E">
              <w:t>10.1–10.5; 11.2–11.5; 12.2–12.4; 13.1–13.9; 14.1–14.3; 15.1; 18.7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855135" w:rsidP="005A6BDD">
            <w:pPr>
              <w:bidi/>
              <w:spacing w:before="80" w:after="60"/>
              <w:jc w:val="left"/>
            </w:pPr>
            <w:r>
              <w:rPr>
                <w:rFonts w:hint="cs"/>
                <w:rtl/>
              </w:rPr>
              <w:t>العمليات الخاصة بالمقاول من الباطن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16.1–16.4; 19.1–19.10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610B33" w:rsidP="005A6BDD">
            <w:pPr>
              <w:bidi/>
              <w:spacing w:before="80" w:after="60"/>
              <w:jc w:val="left"/>
            </w:pPr>
            <w:r>
              <w:rPr>
                <w:rFonts w:hint="cs"/>
                <w:rtl/>
              </w:rPr>
              <w:t>بيئة العمل والتصميم</w:t>
            </w:r>
            <w:r w:rsidR="00BC63FE" w:rsidRPr="00C9479E">
              <w:t xml:space="preserve"> 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7.1–7.11; 8.1–8.5; 17.1; 17.2; 17.5; 17.6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8F480C" w:rsidP="005A6BDD">
            <w:pPr>
              <w:bidi/>
              <w:spacing w:before="80" w:after="60"/>
              <w:jc w:val="left"/>
            </w:pPr>
            <w:r>
              <w:rPr>
                <w:rFonts w:hint="cs"/>
                <w:rtl/>
              </w:rPr>
              <w:t>المراقبة والمعاينة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5.2; 5.4; 5.6; 6.1; 6.3; 6.4; 6.6; 17.7; 18.1–18.6; 20.3–20.8; 21.1–21.3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A96254" w:rsidP="005A6BDD">
            <w:pPr>
              <w:bidi/>
              <w:spacing w:before="80" w:after="6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إدارة التغيير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15.5; 17.8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6D43CF" w:rsidP="00932BA8">
            <w:pPr>
              <w:bidi/>
              <w:spacing w:before="80" w:after="60"/>
              <w:jc w:val="left"/>
            </w:pPr>
            <w:r>
              <w:rPr>
                <w:rFonts w:hint="cs"/>
                <w:rtl/>
                <w:lang w:bidi="ar-EG"/>
              </w:rPr>
              <w:t>الاتصالات</w:t>
            </w:r>
            <w:r w:rsidR="00BC63FE" w:rsidRPr="00C9479E">
              <w:t xml:space="preserve"> 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15.7; 21.5; 22.1–22.13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CE6F54" w:rsidP="005A6BDD">
            <w:pPr>
              <w:bidi/>
              <w:spacing w:before="80" w:after="60"/>
              <w:jc w:val="left"/>
            </w:pPr>
            <w:r w:rsidRPr="00CE6F54">
              <w:rPr>
                <w:rtl/>
              </w:rPr>
              <w:t>التحقيق في الحوادث ومنع المخاطر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15.3; 15.6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CE6F54" w:rsidP="005A6BDD">
            <w:pPr>
              <w:bidi/>
              <w:spacing w:before="80" w:after="60"/>
              <w:jc w:val="left"/>
            </w:pPr>
            <w:r w:rsidRPr="00CE6F54">
              <w:rPr>
                <w:rtl/>
              </w:rPr>
              <w:t>العوامل البشرية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1.5; 1.6; 1.8; 7.2</w:t>
            </w:r>
          </w:p>
        </w:tc>
      </w:tr>
      <w:tr w:rsidR="00BC63FE" w:rsidRPr="00C9479E" w:rsidTr="00CE477B">
        <w:trPr>
          <w:cantSplit/>
          <w:trHeight w:val="343"/>
          <w:jc w:val="center"/>
        </w:trPr>
        <w:tc>
          <w:tcPr>
            <w:tcW w:w="3857" w:type="dxa"/>
            <w:shd w:val="clear" w:color="auto" w:fill="auto"/>
            <w:vAlign w:val="center"/>
          </w:tcPr>
          <w:p w:rsidR="00BC63FE" w:rsidRPr="00C9479E" w:rsidRDefault="0055631B" w:rsidP="005A6BDD">
            <w:pPr>
              <w:bidi/>
              <w:spacing w:before="80" w:after="60"/>
              <w:jc w:val="left"/>
              <w:rPr>
                <w:rtl/>
                <w:lang w:bidi="ar-EG"/>
              </w:rPr>
            </w:pPr>
            <w:r w:rsidRPr="0055631B">
              <w:rPr>
                <w:rtl/>
              </w:rPr>
              <w:t>القيادة والرقابة والتوجيه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BC63FE" w:rsidRPr="00C9479E" w:rsidRDefault="00BC63FE" w:rsidP="005A6BDD">
            <w:pPr>
              <w:bidi/>
              <w:spacing w:before="80" w:after="60"/>
              <w:jc w:val="left"/>
            </w:pPr>
            <w:r w:rsidRPr="00C9479E">
              <w:t>1.3; 3.8; 11.1; 11.6; 11.7; 15.2; 15.8; 21.4</w:t>
            </w:r>
          </w:p>
        </w:tc>
      </w:tr>
    </w:tbl>
    <w:p w:rsidR="00BC63FE" w:rsidRPr="00C9479E" w:rsidRDefault="00BC63FE" w:rsidP="005A6BDD">
      <w:pPr>
        <w:tabs>
          <w:tab w:val="left" w:pos="2160"/>
        </w:tabs>
        <w:bidi/>
        <w:spacing w:before="60"/>
        <w:ind w:left="3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6949B1" w:rsidRDefault="006949B1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6949B1" w:rsidRDefault="006949B1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6949B1" w:rsidRPr="00C9479E" w:rsidRDefault="006949B1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  <w:bookmarkStart w:id="6" w:name="_GoBack"/>
      <w:bookmarkEnd w:id="6"/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i/>
          <w:sz w:val="18"/>
        </w:rPr>
      </w:pPr>
    </w:p>
    <w:p w:rsidR="00BC63FE" w:rsidRPr="00C9479E" w:rsidRDefault="00BC63FE" w:rsidP="005A6BDD">
      <w:pPr>
        <w:tabs>
          <w:tab w:val="left" w:pos="2160"/>
        </w:tabs>
        <w:bidi/>
        <w:spacing w:before="60"/>
        <w:jc w:val="left"/>
        <w:rPr>
          <w:rFonts w:ascii="Arial Narrow" w:hAnsi="Arial Narrow"/>
          <w:sz w:val="18"/>
        </w:rPr>
      </w:pPr>
    </w:p>
    <w:tbl>
      <w:tblPr>
        <w:bidiVisual/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3186"/>
        <w:gridCol w:w="354"/>
        <w:gridCol w:w="15"/>
        <w:gridCol w:w="3148"/>
        <w:gridCol w:w="353"/>
        <w:gridCol w:w="3575"/>
      </w:tblGrid>
      <w:tr w:rsidR="00BC63FE" w:rsidRPr="00C9479E" w:rsidTr="00CE477B">
        <w:trPr>
          <w:trHeight w:val="139"/>
          <w:jc w:val="center"/>
        </w:trPr>
        <w:tc>
          <w:tcPr>
            <w:tcW w:w="3540" w:type="dxa"/>
            <w:gridSpan w:val="2"/>
            <w:vMerge w:val="restart"/>
            <w:vAlign w:val="center"/>
          </w:tcPr>
          <w:p w:rsidR="00BC63FE" w:rsidRPr="00C9479E" w:rsidRDefault="00BC63FE" w:rsidP="0078635E">
            <w:pPr>
              <w:shd w:val="clear" w:color="auto" w:fill="FABF8F" w:themeFill="accent6" w:themeFillTint="99"/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9479E">
              <w:rPr>
                <w:rFonts w:cs="Arial"/>
                <w:sz w:val="18"/>
                <w:szCs w:val="18"/>
              </w:rPr>
              <w:br w:type="page"/>
            </w:r>
            <w:r w:rsidRPr="00C9479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AB131E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قائمة تدقيق العوامل </w:t>
            </w:r>
            <w:r w:rsidR="0078635E">
              <w:rPr>
                <w:rFonts w:cs="Arial" w:hint="cs"/>
                <w:b/>
                <w:bCs/>
                <w:sz w:val="18"/>
                <w:szCs w:val="18"/>
                <w:rtl/>
              </w:rPr>
              <w:t>السببية</w:t>
            </w:r>
          </w:p>
          <w:p w:rsidR="00BC63FE" w:rsidRPr="00C9479E" w:rsidRDefault="00AB131E" w:rsidP="005A6BDD">
            <w:pPr>
              <w:shd w:val="clear" w:color="auto" w:fill="FABF8F" w:themeFill="accent6" w:themeFillTint="99"/>
              <w:bidi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صفحة 2 من 2</w:t>
            </w:r>
          </w:p>
        </w:tc>
        <w:tc>
          <w:tcPr>
            <w:tcW w:w="369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47" w:type="dxa"/>
            <w:tcBorders>
              <w:bottom w:val="nil"/>
            </w:tcBorders>
            <w:vAlign w:val="center"/>
          </w:tcPr>
          <w:p w:rsidR="00BC63FE" w:rsidRPr="00C9479E" w:rsidRDefault="00BC63FE" w:rsidP="00106691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7.0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106691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التعرض أثناء العمل لـ: </w:t>
            </w:r>
          </w:p>
        </w:tc>
        <w:tc>
          <w:tcPr>
            <w:tcW w:w="3928" w:type="dxa"/>
            <w:gridSpan w:val="2"/>
            <w:shd w:val="clear" w:color="auto" w:fill="E36C0A" w:themeFill="accent6" w:themeFillShade="BF"/>
            <w:vAlign w:val="center"/>
          </w:tcPr>
          <w:p w:rsidR="00BC63FE" w:rsidRPr="00C9479E" w:rsidRDefault="007926F5" w:rsidP="005A6BDD">
            <w:pPr>
              <w:bidi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عوامل الوظيفة (يتبع)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39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C47C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C47CF">
              <w:rPr>
                <w:rFonts w:cs="Arial" w:hint="cs"/>
                <w:sz w:val="16"/>
                <w:szCs w:val="16"/>
                <w:rtl/>
              </w:rPr>
              <w:t>الحريق أو الانفجار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C83EA5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46425">
              <w:rPr>
                <w:rFonts w:cs="Arial" w:hint="cs"/>
                <w:sz w:val="16"/>
                <w:szCs w:val="16"/>
                <w:rtl/>
              </w:rPr>
              <w:t xml:space="preserve">تصحيح </w:t>
            </w:r>
            <w:r w:rsidR="00C83EA5">
              <w:rPr>
                <w:rFonts w:cs="Arial" w:hint="cs"/>
                <w:sz w:val="16"/>
                <w:szCs w:val="16"/>
                <w:rtl/>
              </w:rPr>
              <w:t>المخاطر</w:t>
            </w:r>
            <w:r w:rsidR="00D46425">
              <w:rPr>
                <w:rFonts w:cs="Arial" w:hint="cs"/>
                <w:sz w:val="16"/>
                <w:szCs w:val="16"/>
                <w:rtl/>
              </w:rPr>
              <w:t xml:space="preserve"> المبلغ عنها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C47C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7.2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C47CF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الضوضاء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83EA5" w:rsidRPr="00C83EA5">
              <w:rPr>
                <w:rFonts w:cs="Arial"/>
                <w:sz w:val="16"/>
                <w:szCs w:val="16"/>
                <w:rtl/>
              </w:rPr>
              <w:t>تحديد المخاطر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D520A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17232">
              <w:rPr>
                <w:rFonts w:cs="Arial" w:hint="cs"/>
                <w:sz w:val="16"/>
                <w:szCs w:val="16"/>
                <w:rtl/>
              </w:rPr>
              <w:t xml:space="preserve">الأنظمة الكهربائية </w:t>
            </w:r>
            <w:r w:rsidR="00D520AF">
              <w:rPr>
                <w:rFonts w:cs="Arial" w:hint="cs"/>
                <w:sz w:val="16"/>
                <w:szCs w:val="16"/>
                <w:rtl/>
              </w:rPr>
              <w:t xml:space="preserve">المزودة بالطاقة </w:t>
            </w:r>
            <w:r w:rsidR="00117232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13180F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3180F">
              <w:rPr>
                <w:rFonts w:cs="Arial" w:hint="cs"/>
                <w:sz w:val="16"/>
                <w:szCs w:val="16"/>
                <w:rtl/>
              </w:rPr>
              <w:t xml:space="preserve">إدارة التغيير 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A06284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06284">
              <w:rPr>
                <w:rFonts w:cs="Arial" w:hint="cs"/>
                <w:sz w:val="16"/>
                <w:szCs w:val="16"/>
                <w:rtl/>
              </w:rPr>
              <w:t>الأنظمة المزودة بالطاقة (غير الكهربائية)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04228" w:rsidRPr="00404228">
              <w:rPr>
                <w:rFonts w:cs="Arial"/>
                <w:sz w:val="16"/>
                <w:szCs w:val="16"/>
                <w:rtl/>
              </w:rPr>
              <w:t>الإبلاغ عن الحوادث/ استغلالها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EB6766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B6766">
              <w:rPr>
                <w:rFonts w:cs="Arial" w:hint="cs"/>
                <w:sz w:val="16"/>
                <w:szCs w:val="16"/>
                <w:rtl/>
              </w:rPr>
              <w:t>الإشعاع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404228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04228">
              <w:rPr>
                <w:rFonts w:cs="Arial" w:hint="cs"/>
                <w:sz w:val="16"/>
                <w:szCs w:val="16"/>
                <w:rtl/>
              </w:rPr>
              <w:t xml:space="preserve">اجتماعات السلامة 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7.6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BC3D40" w:rsidRPr="00BC3D40">
              <w:rPr>
                <w:rFonts w:cs="Arial"/>
                <w:sz w:val="16"/>
                <w:szCs w:val="16"/>
                <w:rtl/>
              </w:rPr>
              <w:t>درجات الحرارة القصوى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F3EC7" w:rsidRPr="002F3EC7">
              <w:rPr>
                <w:rFonts w:cs="Arial"/>
                <w:sz w:val="16"/>
                <w:szCs w:val="16"/>
                <w:rtl/>
              </w:rPr>
              <w:t>قياس الأداء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80E21" w:rsidRPr="00180E21">
              <w:rPr>
                <w:rFonts w:cs="Arial"/>
                <w:sz w:val="16"/>
                <w:szCs w:val="16"/>
                <w:rtl/>
              </w:rPr>
              <w:t>المواد الكيميائية/ المواد الخطرة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16.0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521F0F" w:rsidRPr="00521F0F">
              <w:rPr>
                <w:rFonts w:cs="Arial"/>
                <w:b/>
                <w:bCs/>
                <w:sz w:val="16"/>
                <w:szCs w:val="16"/>
                <w:rtl/>
              </w:rPr>
              <w:t>اختيار المقاول/ الرقابة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bidi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23E4F" w:rsidRPr="00D23E4F">
              <w:rPr>
                <w:rFonts w:cs="Arial"/>
                <w:sz w:val="16"/>
                <w:szCs w:val="16"/>
                <w:rtl/>
              </w:rPr>
              <w:t>المخاطر الميكانيكية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7C4E6E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16.1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C4E6E">
              <w:rPr>
                <w:rFonts w:cs="Arial" w:hint="cs"/>
                <w:sz w:val="16"/>
                <w:szCs w:val="16"/>
                <w:rtl/>
              </w:rPr>
              <w:t xml:space="preserve">التأهيل المسبق للمقاول </w:t>
            </w:r>
          </w:p>
        </w:tc>
      </w:tr>
      <w:tr w:rsidR="00BC63FE" w:rsidRPr="00C9479E" w:rsidTr="00CE477B">
        <w:trPr>
          <w:trHeight w:val="110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390"/>
              </w:tabs>
              <w:bidi/>
              <w:rPr>
                <w:rFonts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9E3D47" w:rsidRPr="009E3D47">
              <w:rPr>
                <w:rFonts w:cs="Arial"/>
                <w:sz w:val="16"/>
                <w:szCs w:val="16"/>
                <w:rtl/>
              </w:rPr>
              <w:t>الفوضى أو الحطام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9D0BDF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16.2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9D0BDF">
              <w:rPr>
                <w:rFonts w:cs="Arial" w:hint="cs"/>
                <w:sz w:val="16"/>
                <w:szCs w:val="16"/>
                <w:rtl/>
              </w:rPr>
              <w:t xml:space="preserve">اختيار المقاول 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7.10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94F43" w:rsidRPr="00D94F43">
              <w:rPr>
                <w:rFonts w:cs="Arial"/>
                <w:sz w:val="16"/>
                <w:szCs w:val="16"/>
                <w:rtl/>
              </w:rPr>
              <w:t>العواصف أو الظواهر الطبيعة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84617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16.3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584617">
              <w:rPr>
                <w:rFonts w:cs="Arial" w:hint="cs"/>
                <w:sz w:val="16"/>
                <w:szCs w:val="16"/>
                <w:rtl/>
              </w:rPr>
              <w:t xml:space="preserve">المقاول غير المعتمد 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7.11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B2B76" w:rsidRPr="00EB2B76">
              <w:rPr>
                <w:rFonts w:cs="Arial"/>
                <w:sz w:val="16"/>
                <w:szCs w:val="16"/>
                <w:rtl/>
              </w:rPr>
              <w:t>الأرضيات أو الممرات الزلقة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D5375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16.4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53752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المراقبة 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8.0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D660AF" w:rsidRPr="00D660AF">
              <w:rPr>
                <w:rFonts w:cs="Arial"/>
                <w:b/>
                <w:bCs/>
                <w:sz w:val="16"/>
                <w:szCs w:val="16"/>
                <w:rtl/>
              </w:rPr>
              <w:t>بيئة العمل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84553E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17.0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84553E">
              <w:rPr>
                <w:rFonts w:cs="Arial" w:hint="cs"/>
                <w:b/>
                <w:bCs/>
                <w:sz w:val="16"/>
                <w:szCs w:val="16"/>
                <w:rtl/>
              </w:rPr>
              <w:t>الهندسة/ التصميم</w:t>
            </w:r>
          </w:p>
        </w:tc>
      </w:tr>
      <w:tr w:rsidR="00BC63FE" w:rsidRPr="00C9479E" w:rsidTr="00CE477B">
        <w:trPr>
          <w:trHeight w:val="75"/>
          <w:jc w:val="center"/>
        </w:trPr>
        <w:tc>
          <w:tcPr>
            <w:tcW w:w="3540" w:type="dxa"/>
            <w:gridSpan w:val="2"/>
            <w:vMerge/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8.1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809F2" w:rsidRPr="00A809F2">
              <w:rPr>
                <w:rFonts w:cs="Arial"/>
                <w:sz w:val="16"/>
                <w:szCs w:val="16"/>
                <w:rtl/>
              </w:rPr>
              <w:t>الازدحام أو الحركة المقيدة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B3E18" w:rsidRPr="00DB3E18">
              <w:rPr>
                <w:rFonts w:cs="Arial"/>
                <w:sz w:val="16"/>
                <w:szCs w:val="16"/>
                <w:rtl/>
              </w:rPr>
              <w:t>التصميم الفني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0" w:type="dxa"/>
            <w:gridSpan w:val="2"/>
            <w:shd w:val="clear" w:color="auto" w:fill="C0C0C0"/>
            <w:vAlign w:val="center"/>
          </w:tcPr>
          <w:p w:rsidR="00BC63FE" w:rsidRPr="00C9479E" w:rsidRDefault="008F4ABF" w:rsidP="0078635E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F4ABF">
              <w:rPr>
                <w:rFonts w:cs="Arial"/>
                <w:b/>
                <w:bCs/>
                <w:sz w:val="18"/>
                <w:szCs w:val="18"/>
                <w:rtl/>
              </w:rPr>
              <w:t xml:space="preserve">العوامل </w:t>
            </w:r>
            <w:r w:rsidR="0078635E">
              <w:rPr>
                <w:rFonts w:cs="Arial" w:hint="cs"/>
                <w:b/>
                <w:bCs/>
                <w:sz w:val="18"/>
                <w:szCs w:val="18"/>
                <w:rtl/>
              </w:rPr>
              <w:t>السببية</w:t>
            </w:r>
            <w:r w:rsidRPr="008F4ABF">
              <w:rPr>
                <w:rFonts w:cs="Arial"/>
                <w:b/>
                <w:bCs/>
                <w:sz w:val="18"/>
                <w:szCs w:val="18"/>
                <w:rtl/>
              </w:rPr>
              <w:t xml:space="preserve"> المباشرة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A809F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8.2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809F2">
              <w:rPr>
                <w:rFonts w:cs="Arial" w:hint="cs"/>
                <w:sz w:val="16"/>
                <w:szCs w:val="16"/>
                <w:rtl/>
              </w:rPr>
              <w:t xml:space="preserve">الإضاءة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62DDA" w:rsidRPr="00662DDA">
              <w:rPr>
                <w:rFonts w:cs="Arial"/>
                <w:sz w:val="16"/>
                <w:szCs w:val="16"/>
                <w:rtl/>
              </w:rPr>
              <w:t>المقاييس/ المواصفات/ المعايير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0" w:type="dxa"/>
            <w:gridSpan w:val="2"/>
            <w:tcBorders>
              <w:bottom w:val="nil"/>
            </w:tcBorders>
            <w:shd w:val="clear" w:color="auto" w:fill="E36C0A" w:themeFill="accent6" w:themeFillShade="BF"/>
            <w:vAlign w:val="center"/>
          </w:tcPr>
          <w:p w:rsidR="00BC63FE" w:rsidRPr="00C9479E" w:rsidRDefault="00EC0653" w:rsidP="005A6BDD">
            <w:pPr>
              <w:tabs>
                <w:tab w:val="left" w:pos="390"/>
              </w:tabs>
              <w:bidi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bidi="ar-EG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الإجراءات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164C31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8.3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64C31">
              <w:rPr>
                <w:rFonts w:cs="Arial" w:hint="cs"/>
                <w:sz w:val="16"/>
                <w:szCs w:val="16"/>
                <w:rtl/>
                <w:lang w:bidi="ar-EG"/>
              </w:rPr>
              <w:t xml:space="preserve">وسائل التهوية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A159F" w:rsidRPr="00CA159F">
              <w:rPr>
                <w:rFonts w:cs="Arial"/>
                <w:sz w:val="16"/>
                <w:szCs w:val="16"/>
                <w:rtl/>
              </w:rPr>
              <w:t>تقييم الإخفاقات المحتملة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6B08D1" w:rsidRPr="006B08D1">
              <w:rPr>
                <w:rFonts w:cs="Arial"/>
                <w:b/>
                <w:bCs/>
                <w:sz w:val="16"/>
                <w:szCs w:val="16"/>
                <w:rtl/>
              </w:rPr>
              <w:t>الإجراءات التالية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76289A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8.4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6289A">
              <w:rPr>
                <w:rFonts w:cs="Arial" w:hint="cs"/>
                <w:sz w:val="16"/>
                <w:szCs w:val="16"/>
                <w:rtl/>
              </w:rPr>
              <w:t>الترخيص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07597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07597">
              <w:rPr>
                <w:rFonts w:cs="Arial" w:hint="cs"/>
                <w:sz w:val="16"/>
                <w:szCs w:val="16"/>
                <w:rtl/>
              </w:rPr>
              <w:t xml:space="preserve">تصميم بيئات العمل </w:t>
            </w:r>
          </w:p>
        </w:tc>
      </w:tr>
      <w:tr w:rsidR="00BC63FE" w:rsidRPr="00C9479E" w:rsidTr="00CE477B">
        <w:trPr>
          <w:trHeight w:val="85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B08D1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B08D1">
              <w:rPr>
                <w:rFonts w:cs="Arial" w:hint="cs"/>
                <w:sz w:val="16"/>
                <w:szCs w:val="16"/>
                <w:rtl/>
              </w:rPr>
              <w:t>الفرد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606F21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8.5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07E7A" w:rsidRPr="00707E7A">
              <w:rPr>
                <w:rFonts w:cs="Arial"/>
                <w:sz w:val="16"/>
                <w:szCs w:val="16"/>
                <w:rtl/>
              </w:rPr>
              <w:t>التصميم (</w:t>
            </w:r>
            <w:r w:rsidR="00606F21">
              <w:rPr>
                <w:rFonts w:cs="Arial" w:hint="cs"/>
                <w:sz w:val="16"/>
                <w:szCs w:val="16"/>
                <w:rtl/>
              </w:rPr>
              <w:t>بيئات العمل</w:t>
            </w:r>
            <w:r w:rsidR="00707E7A" w:rsidRPr="00707E7A">
              <w:rPr>
                <w:rFonts w:cs="Arial"/>
                <w:sz w:val="16"/>
                <w:szCs w:val="16"/>
                <w:rtl/>
              </w:rPr>
              <w:t>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50F09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50F09">
              <w:rPr>
                <w:rFonts w:cs="Arial" w:hint="cs"/>
                <w:sz w:val="16"/>
                <w:szCs w:val="16"/>
                <w:rtl/>
              </w:rPr>
              <w:t>مراقبة الأعمال الإنشائية</w:t>
            </w:r>
          </w:p>
        </w:tc>
      </w:tr>
      <w:tr w:rsidR="00BC63FE" w:rsidRPr="00C9479E" w:rsidTr="00CE477B">
        <w:trPr>
          <w:trHeight w:val="76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B08D1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1.2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B08D1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المجموعة </w:t>
            </w:r>
          </w:p>
        </w:tc>
        <w:tc>
          <w:tcPr>
            <w:tcW w:w="3517" w:type="dxa"/>
            <w:gridSpan w:val="3"/>
            <w:shd w:val="clear" w:color="auto" w:fill="C0C0C0"/>
            <w:vAlign w:val="center"/>
          </w:tcPr>
          <w:p w:rsidR="00BC63FE" w:rsidRPr="00C9479E" w:rsidRDefault="00AF0BF6" w:rsidP="005A6BDD">
            <w:pPr>
              <w:tabs>
                <w:tab w:val="left" w:pos="465"/>
              </w:tabs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العوامل السببية المساهمة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C037F" w:rsidRPr="004C037F">
              <w:rPr>
                <w:rFonts w:cs="Arial"/>
                <w:sz w:val="16"/>
                <w:szCs w:val="16"/>
                <w:rtl/>
              </w:rPr>
              <w:t>التقييم/ الاستعداد التشغيلي</w:t>
            </w:r>
          </w:p>
        </w:tc>
      </w:tr>
      <w:tr w:rsidR="00BC63FE" w:rsidRPr="00C9479E" w:rsidTr="00CE477B">
        <w:trPr>
          <w:trHeight w:val="133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845A4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1.3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845A4">
              <w:rPr>
                <w:rFonts w:cs="Arial" w:hint="cs"/>
                <w:sz w:val="16"/>
                <w:szCs w:val="16"/>
                <w:rtl/>
                <w:lang w:bidi="ar-EG"/>
              </w:rPr>
              <w:t>الإشراف</w:t>
            </w:r>
          </w:p>
        </w:tc>
        <w:tc>
          <w:tcPr>
            <w:tcW w:w="3517" w:type="dxa"/>
            <w:gridSpan w:val="3"/>
            <w:shd w:val="clear" w:color="auto" w:fill="E36C0A" w:themeFill="accent6" w:themeFillShade="BF"/>
            <w:vAlign w:val="center"/>
          </w:tcPr>
          <w:p w:rsidR="00BC63FE" w:rsidRPr="00C9479E" w:rsidRDefault="00C814FD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  <w:r w:rsidRPr="00C814FD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</w:rPr>
              <w:t>العوامل الشخصية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95BC0" w:rsidRPr="00295BC0">
              <w:rPr>
                <w:rFonts w:cs="Arial"/>
                <w:sz w:val="16"/>
                <w:szCs w:val="16"/>
                <w:rtl/>
              </w:rPr>
              <w:t>مراقبة التشغيل الأولي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236190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002FD">
              <w:rPr>
                <w:rFonts w:cs="Arial" w:hint="cs"/>
                <w:sz w:val="16"/>
                <w:szCs w:val="16"/>
                <w:rtl/>
              </w:rPr>
              <w:t xml:space="preserve">معدات التشغيل بدون سلطة 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BC6A95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9.0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BC6A95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القدرات الجسدية 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17.8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BF5F9D" w:rsidRPr="00BF5F9D">
              <w:rPr>
                <w:rFonts w:cs="Arial"/>
                <w:sz w:val="16"/>
                <w:szCs w:val="16"/>
                <w:rtl/>
              </w:rPr>
              <w:t>تقييم/ تغيير الوثائق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36190" w:rsidRPr="00236190">
              <w:rPr>
                <w:rFonts w:cs="Arial"/>
                <w:sz w:val="16"/>
                <w:szCs w:val="16"/>
                <w:rtl/>
              </w:rPr>
              <w:t>موقف/ وضع غير لائق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C596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5C596D">
              <w:rPr>
                <w:rFonts w:cs="Arial" w:hint="cs"/>
                <w:sz w:val="16"/>
                <w:szCs w:val="16"/>
                <w:rtl/>
              </w:rPr>
              <w:t xml:space="preserve">الرؤية 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BF5F9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18.0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BF5F9D">
              <w:rPr>
                <w:rFonts w:cs="Arial" w:hint="cs"/>
                <w:b/>
                <w:bCs/>
                <w:sz w:val="16"/>
                <w:szCs w:val="16"/>
                <w:rtl/>
              </w:rPr>
              <w:t>تخطيط العمل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700D6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1.6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700D6" w:rsidRPr="006700D6">
              <w:rPr>
                <w:rFonts w:cs="Arial"/>
                <w:sz w:val="16"/>
                <w:szCs w:val="16"/>
                <w:rtl/>
              </w:rPr>
              <w:t xml:space="preserve">الإرهاق - القدرات الجسدية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C596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5C596D">
              <w:rPr>
                <w:rFonts w:cs="Arial" w:hint="cs"/>
                <w:sz w:val="16"/>
                <w:szCs w:val="16"/>
                <w:rtl/>
              </w:rPr>
              <w:t xml:space="preserve">السمع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BF5F9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BF5F9D">
              <w:rPr>
                <w:rFonts w:cs="Arial" w:hint="cs"/>
                <w:sz w:val="16"/>
                <w:szCs w:val="16"/>
                <w:rtl/>
              </w:rPr>
              <w:t>تخطيط العمل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44556" w:rsidRPr="00E44556">
              <w:rPr>
                <w:rFonts w:cs="Arial"/>
                <w:sz w:val="16"/>
                <w:szCs w:val="16"/>
                <w:rtl/>
              </w:rPr>
              <w:t>العمل أو الحركة بسرعة غير مناسبة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E4F09" w:rsidRPr="00CE4F09">
              <w:rPr>
                <w:rFonts w:cs="Arial"/>
                <w:sz w:val="16"/>
                <w:szCs w:val="16"/>
                <w:rtl/>
              </w:rPr>
              <w:t>تأثير الحواس الأخرى (الشم/ اللمس)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D0E5F" w:rsidRPr="00CD0E5F">
              <w:rPr>
                <w:rFonts w:cs="Arial"/>
                <w:sz w:val="16"/>
                <w:szCs w:val="16"/>
                <w:rtl/>
              </w:rPr>
              <w:t>الصيانة الوقائية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E44556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44556">
              <w:rPr>
                <w:rFonts w:cs="Arial" w:hint="cs"/>
                <w:sz w:val="16"/>
                <w:szCs w:val="16"/>
                <w:rtl/>
              </w:rPr>
              <w:t>التحميل غير المناسب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773C69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73C69">
              <w:rPr>
                <w:rFonts w:cs="Arial" w:hint="cs"/>
                <w:sz w:val="16"/>
                <w:szCs w:val="16"/>
                <w:rtl/>
              </w:rPr>
              <w:t>السعة التنفسية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CD0E5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D0E5F">
              <w:rPr>
                <w:rFonts w:cs="Arial" w:hint="cs"/>
                <w:sz w:val="16"/>
                <w:szCs w:val="16"/>
                <w:rtl/>
              </w:rPr>
              <w:t xml:space="preserve">الإصلاحات </w:t>
            </w:r>
          </w:p>
        </w:tc>
      </w:tr>
      <w:tr w:rsidR="00BC63FE" w:rsidRPr="00C9479E" w:rsidTr="00CE477B">
        <w:trPr>
          <w:trHeight w:val="170"/>
          <w:jc w:val="center"/>
        </w:trPr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BC63FE" w:rsidRPr="00C9479E" w:rsidRDefault="00BC63FE" w:rsidP="00D74F9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74F92">
              <w:rPr>
                <w:rFonts w:cs="Arial" w:hint="cs"/>
                <w:sz w:val="16"/>
                <w:szCs w:val="16"/>
                <w:rtl/>
              </w:rPr>
              <w:t xml:space="preserve">الطرق المختصرة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46503E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6503E">
              <w:rPr>
                <w:rFonts w:cs="Arial" w:hint="cs"/>
                <w:sz w:val="16"/>
                <w:szCs w:val="16"/>
                <w:rtl/>
              </w:rPr>
              <w:t xml:space="preserve">الإعاقات الجسدية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E3683" w:rsidRPr="002E3683">
              <w:rPr>
                <w:rFonts w:cs="Arial"/>
                <w:sz w:val="16"/>
                <w:szCs w:val="16"/>
                <w:rtl/>
              </w:rPr>
              <w:t>البلى والتمزق</w:t>
            </w:r>
          </w:p>
        </w:tc>
      </w:tr>
      <w:tr w:rsidR="00BC63FE" w:rsidRPr="00C9479E" w:rsidTr="00CE477B">
        <w:trPr>
          <w:trHeight w:val="148"/>
          <w:jc w:val="center"/>
        </w:trPr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86" w:type="dxa"/>
            <w:tcBorders>
              <w:bottom w:val="nil"/>
            </w:tcBorders>
            <w:vAlign w:val="center"/>
          </w:tcPr>
          <w:p w:rsidR="00BC63FE" w:rsidRPr="00C9479E" w:rsidRDefault="00BC63FE" w:rsidP="003C2053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2.0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3C2053">
              <w:rPr>
                <w:rFonts w:cs="Arial" w:hint="cs"/>
                <w:b/>
                <w:bCs/>
                <w:sz w:val="16"/>
                <w:szCs w:val="16"/>
                <w:rtl/>
              </w:rPr>
              <w:t>استخدام الأدوات أو المعدات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93475F" w:rsidRPr="0093475F">
              <w:rPr>
                <w:rFonts w:cs="Arial"/>
                <w:sz w:val="16"/>
                <w:szCs w:val="16"/>
                <w:rtl/>
              </w:rPr>
              <w:t>الإعاقات المؤقتة (الكسر في الساق)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FD7149" w:rsidRPr="00FD7149">
              <w:rPr>
                <w:rFonts w:cs="Arial"/>
                <w:sz w:val="16"/>
                <w:szCs w:val="16"/>
                <w:rtl/>
              </w:rPr>
              <w:t>المواد المرجعية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C2053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C2053">
              <w:rPr>
                <w:rFonts w:cs="Arial" w:hint="cs"/>
                <w:sz w:val="16"/>
                <w:szCs w:val="16"/>
                <w:rtl/>
              </w:rPr>
              <w:t>استخدام الأدوات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B391E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B391E">
              <w:rPr>
                <w:rFonts w:cs="Arial" w:hint="cs"/>
                <w:sz w:val="16"/>
                <w:szCs w:val="16"/>
                <w:rtl/>
              </w:rPr>
              <w:t xml:space="preserve">عدم القدرة على تقوية أوضاع الجسم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719EF" w:rsidRPr="00C719EF">
              <w:rPr>
                <w:rFonts w:cs="Arial"/>
                <w:sz w:val="16"/>
                <w:szCs w:val="16"/>
                <w:rtl/>
              </w:rPr>
              <w:t>التدقيق/ المعاينة/ المراقبة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C2053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C2053">
              <w:rPr>
                <w:rFonts w:cs="Arial" w:hint="cs"/>
                <w:sz w:val="16"/>
                <w:szCs w:val="16"/>
                <w:rtl/>
              </w:rPr>
              <w:t>استخدام المعدات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7313E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9.8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313ED" w:rsidRPr="007313ED">
              <w:rPr>
                <w:rFonts w:cs="Arial"/>
                <w:sz w:val="16"/>
                <w:szCs w:val="16"/>
                <w:rtl/>
              </w:rPr>
              <w:t>تقييد نطاق حركة الجسم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18.7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D5A57" w:rsidRPr="002D5A57">
              <w:rPr>
                <w:rFonts w:cs="Arial"/>
                <w:sz w:val="16"/>
                <w:szCs w:val="16"/>
                <w:rtl/>
              </w:rPr>
              <w:t>التوظيف (الموظفين)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600EE" w:rsidRPr="00A600EE">
              <w:rPr>
                <w:rFonts w:cs="Arial"/>
                <w:sz w:val="16"/>
                <w:szCs w:val="16"/>
                <w:rtl/>
              </w:rPr>
              <w:t>استخدام الأدوات المعيبة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E174C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E174C" w:rsidRPr="003E174C">
              <w:rPr>
                <w:rFonts w:cs="Arial"/>
                <w:sz w:val="16"/>
                <w:szCs w:val="16"/>
                <w:rtl/>
              </w:rPr>
              <w:t xml:space="preserve">الحساسية نحو المواد أو الحساسية 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19.0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FF6B58" w:rsidRPr="00FF6B58">
              <w:rPr>
                <w:rFonts w:cs="Arial"/>
                <w:b/>
                <w:bCs/>
                <w:sz w:val="16"/>
                <w:szCs w:val="16"/>
                <w:rtl/>
              </w:rPr>
              <w:t>الشراء/ التعامل مع المواد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A600E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2.4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600EE" w:rsidRPr="00A600EE">
              <w:rPr>
                <w:rFonts w:cs="Arial"/>
                <w:sz w:val="16"/>
                <w:szCs w:val="16"/>
                <w:rtl/>
              </w:rPr>
              <w:t xml:space="preserve">استخدام </w:t>
            </w:r>
            <w:r w:rsidR="00875804">
              <w:rPr>
                <w:rFonts w:cs="Arial" w:hint="cs"/>
                <w:sz w:val="16"/>
                <w:szCs w:val="16"/>
                <w:rtl/>
              </w:rPr>
              <w:t>المعدات</w:t>
            </w:r>
            <w:r w:rsidR="00A600EE" w:rsidRPr="00A600EE">
              <w:rPr>
                <w:rFonts w:cs="Arial"/>
                <w:sz w:val="16"/>
                <w:szCs w:val="16"/>
                <w:rtl/>
              </w:rPr>
              <w:t xml:space="preserve"> المعيبة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E174C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9.10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E174C">
              <w:rPr>
                <w:rFonts w:cs="Arial" w:hint="cs"/>
                <w:sz w:val="16"/>
                <w:szCs w:val="16"/>
                <w:rtl/>
              </w:rPr>
              <w:t xml:space="preserve">الحجم أو القوة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FF6B58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FF6B58">
              <w:rPr>
                <w:rFonts w:cs="Arial" w:hint="cs"/>
                <w:sz w:val="16"/>
                <w:szCs w:val="16"/>
                <w:rtl/>
              </w:rPr>
              <w:t xml:space="preserve">المادة (المواد) المستلمة 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74BAD" w:rsidRPr="00474BAD">
              <w:rPr>
                <w:rFonts w:cs="Arial"/>
                <w:sz w:val="16"/>
                <w:szCs w:val="16"/>
                <w:rtl/>
              </w:rPr>
              <w:t>الوضع غير الصحيح للأدوات/ المعدات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527EEA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9.11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527EEA">
              <w:rPr>
                <w:rFonts w:cs="Arial" w:hint="cs"/>
                <w:sz w:val="16"/>
                <w:szCs w:val="16"/>
                <w:rtl/>
              </w:rPr>
              <w:t xml:space="preserve">الأدوية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CD40C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D40CF">
              <w:rPr>
                <w:rFonts w:cs="Arial" w:hint="cs"/>
                <w:sz w:val="16"/>
                <w:szCs w:val="16"/>
                <w:rtl/>
              </w:rPr>
              <w:t xml:space="preserve">البحث عن المتطلبات 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74BAD" w:rsidRPr="00474BAD">
              <w:rPr>
                <w:rFonts w:cs="Arial"/>
                <w:sz w:val="16"/>
                <w:szCs w:val="16"/>
                <w:rtl/>
              </w:rPr>
              <w:t>تشغيل المعدات بسرعة غير مناسبة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083311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10.0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083311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الحالة الجسدية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E2EC5" w:rsidRPr="000E2EC5">
              <w:rPr>
                <w:rFonts w:cs="Arial"/>
                <w:sz w:val="16"/>
                <w:szCs w:val="16"/>
                <w:rtl/>
              </w:rPr>
              <w:t>أسلوب أو طريق الشحن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91748" w:rsidRPr="00491748">
              <w:rPr>
                <w:rFonts w:cs="Arial"/>
                <w:sz w:val="16"/>
                <w:szCs w:val="16"/>
                <w:rtl/>
              </w:rPr>
              <w:t>صيانة المعدات قيد التشغيل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70C5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10.1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70C5D">
              <w:rPr>
                <w:rFonts w:cs="Arial" w:hint="cs"/>
                <w:sz w:val="16"/>
                <w:szCs w:val="16"/>
                <w:rtl/>
              </w:rPr>
              <w:t xml:space="preserve">الإصابات أو الأمراض السابقة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E3C26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E3C26">
              <w:rPr>
                <w:rFonts w:cs="Arial" w:hint="cs"/>
                <w:sz w:val="16"/>
                <w:szCs w:val="16"/>
                <w:rtl/>
              </w:rPr>
              <w:t>التعامل مع المواد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86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3.0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F351C5" w:rsidRPr="00F351C5">
              <w:rPr>
                <w:rFonts w:cs="Arial"/>
                <w:b/>
                <w:bCs/>
                <w:sz w:val="16"/>
                <w:szCs w:val="16"/>
                <w:rtl/>
              </w:rPr>
              <w:t>استخدام أساليب الحماية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10.2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838E5" w:rsidRPr="00D838E5">
              <w:rPr>
                <w:rFonts w:cs="Arial"/>
                <w:sz w:val="16"/>
                <w:szCs w:val="16"/>
                <w:rtl/>
              </w:rPr>
              <w:t>الإجهاد (أعباء العمل، قلة الراحة)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F2E03" w:rsidRPr="001F2E03">
              <w:rPr>
                <w:rFonts w:cs="Arial"/>
                <w:sz w:val="16"/>
                <w:szCs w:val="16"/>
                <w:rtl/>
              </w:rPr>
              <w:t>تخزين المواد/ قطع الغيار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AA0AF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A0AF2">
              <w:rPr>
                <w:rFonts w:cs="Arial" w:hint="cs"/>
                <w:sz w:val="16"/>
                <w:szCs w:val="16"/>
                <w:rtl/>
              </w:rPr>
              <w:t>عدم استخدام معدات الوقاية الشخصية المحددة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CE5980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10.3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E5980" w:rsidRPr="00CE5980">
              <w:rPr>
                <w:rFonts w:cs="Arial"/>
                <w:sz w:val="16"/>
                <w:szCs w:val="16"/>
                <w:rtl/>
              </w:rPr>
              <w:t>ضعف الأداء (مستوى درجة الحرارة الأكسجين)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19.6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20B02" w:rsidRPr="00E20B02">
              <w:rPr>
                <w:rFonts w:cs="Arial"/>
                <w:sz w:val="16"/>
                <w:szCs w:val="16"/>
                <w:rtl/>
              </w:rPr>
              <w:t>تغليف المواد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61E7C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61E7C">
              <w:rPr>
                <w:rFonts w:cs="Arial" w:hint="cs"/>
                <w:sz w:val="16"/>
                <w:szCs w:val="16"/>
                <w:rtl/>
              </w:rPr>
              <w:t>استخدام معدات الوقاية الشخصية بشكل غير صحيح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10.4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A2266" w:rsidRPr="00AA2266">
              <w:rPr>
                <w:rFonts w:cs="Arial"/>
                <w:sz w:val="16"/>
                <w:szCs w:val="16"/>
                <w:rtl/>
              </w:rPr>
              <w:t>نقص السكر في الدم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A1BAE" w:rsidRPr="004A1BAE">
              <w:rPr>
                <w:rFonts w:cs="Arial"/>
                <w:sz w:val="16"/>
                <w:szCs w:val="16"/>
                <w:rtl/>
              </w:rPr>
              <w:t>تجاوز العمر الافتراضي للمواد</w:t>
            </w:r>
          </w:p>
        </w:tc>
      </w:tr>
      <w:tr w:rsidR="00BC63FE" w:rsidRPr="00C9479E" w:rsidTr="00CE477B">
        <w:trPr>
          <w:trHeight w:val="131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C879DC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879DC">
              <w:rPr>
                <w:rFonts w:cs="Arial" w:hint="cs"/>
                <w:sz w:val="16"/>
                <w:szCs w:val="16"/>
                <w:rtl/>
              </w:rPr>
              <w:t xml:space="preserve">صيانة المعدات المزودة بالطاقة 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C84022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10.5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84022" w:rsidRPr="00C84022">
              <w:rPr>
                <w:rFonts w:cs="Arial"/>
                <w:sz w:val="16"/>
                <w:szCs w:val="16"/>
                <w:rtl/>
              </w:rPr>
              <w:t>الضعف (إدمان المخدرات أو الكحول)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AB3C25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B3C25">
              <w:rPr>
                <w:rFonts w:cs="Arial" w:hint="cs"/>
                <w:sz w:val="16"/>
                <w:szCs w:val="16"/>
                <w:rtl/>
              </w:rPr>
              <w:t xml:space="preserve">تحديد المواد الخطرة </w:t>
            </w:r>
          </w:p>
        </w:tc>
      </w:tr>
      <w:tr w:rsidR="00BC63FE" w:rsidRPr="00C9479E" w:rsidTr="00CE477B">
        <w:trPr>
          <w:trHeight w:val="126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324A2" w:rsidRPr="007324A2">
              <w:rPr>
                <w:rFonts w:cs="Arial"/>
                <w:sz w:val="16"/>
                <w:szCs w:val="16"/>
                <w:rtl/>
              </w:rPr>
              <w:t>عدم معرفة مخاطر العمل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11.0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C51CD7" w:rsidRPr="00C51CD7">
              <w:rPr>
                <w:rFonts w:cs="Arial"/>
                <w:b/>
                <w:bCs/>
                <w:sz w:val="16"/>
                <w:szCs w:val="16"/>
                <w:rtl/>
              </w:rPr>
              <w:t>الجوانب السلوكية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2160A" w:rsidRPr="0012160A">
              <w:rPr>
                <w:rFonts w:cs="Arial"/>
                <w:sz w:val="16"/>
                <w:szCs w:val="16"/>
                <w:rtl/>
              </w:rPr>
              <w:t>الإنقاذ و/ أو التخلص من النفايات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57684E" w:rsidRPr="0057684E">
              <w:rPr>
                <w:rFonts w:cs="Arial"/>
                <w:sz w:val="16"/>
                <w:szCs w:val="16"/>
                <w:rtl/>
              </w:rPr>
              <w:t>المعدات/ المواد غير مؤمنة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191049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91049">
              <w:rPr>
                <w:rFonts w:cs="Arial" w:hint="cs"/>
                <w:sz w:val="16"/>
                <w:szCs w:val="16"/>
                <w:rtl/>
              </w:rPr>
              <w:t>نماذج من الإشراف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12160A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19.10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2160A">
              <w:rPr>
                <w:rFonts w:cs="Arial" w:hint="cs"/>
                <w:sz w:val="16"/>
                <w:szCs w:val="16"/>
                <w:rtl/>
              </w:rPr>
              <w:t xml:space="preserve">استخدام بيانات الصحة والسلامة والأمن والبيئة 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1D347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D0E4F" w:rsidRPr="002D0E4F">
              <w:rPr>
                <w:rFonts w:cs="Arial"/>
                <w:sz w:val="16"/>
                <w:szCs w:val="16"/>
                <w:rtl/>
              </w:rPr>
              <w:t xml:space="preserve">أنظمة الحراسة/ </w:t>
            </w:r>
            <w:r w:rsidR="001D347E">
              <w:rPr>
                <w:rFonts w:cs="Arial" w:hint="cs"/>
                <w:sz w:val="16"/>
                <w:szCs w:val="16"/>
                <w:rtl/>
              </w:rPr>
              <w:t>الإنذار</w:t>
            </w:r>
            <w:r w:rsidR="002D0E4F" w:rsidRPr="002D0E4F">
              <w:rPr>
                <w:rFonts w:cs="Arial"/>
                <w:sz w:val="16"/>
                <w:szCs w:val="16"/>
                <w:rtl/>
              </w:rPr>
              <w:t xml:space="preserve"> المعطلة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74993" w:rsidRPr="00874993">
              <w:rPr>
                <w:rFonts w:cs="Arial"/>
                <w:sz w:val="16"/>
                <w:szCs w:val="16"/>
                <w:rtl/>
              </w:rPr>
              <w:t>السلوكيات الجوهرية الغير محددة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721B0C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20.0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721B0C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الأدوات والمعدات 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E2A14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3.7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E2A14">
              <w:rPr>
                <w:rFonts w:cs="Arial" w:hint="cs"/>
                <w:sz w:val="16"/>
                <w:szCs w:val="16"/>
                <w:rtl/>
              </w:rPr>
              <w:t>إزالة أجهزة الحراسة/ الإنذار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74993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74993">
              <w:rPr>
                <w:rFonts w:cs="Arial" w:hint="cs"/>
                <w:sz w:val="16"/>
                <w:szCs w:val="16"/>
                <w:rtl/>
              </w:rPr>
              <w:t xml:space="preserve">السلوكيات الجوهرية غير المعززة 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F5DD1" w:rsidRPr="000F5DD1">
              <w:rPr>
                <w:rFonts w:cs="Arial"/>
                <w:sz w:val="16"/>
                <w:szCs w:val="16"/>
                <w:rtl/>
              </w:rPr>
              <w:t>تقييم الاحتياجات/ المخاطر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BC63FE" w:rsidRPr="00C9479E" w:rsidRDefault="00BC63FE" w:rsidP="007324A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3.8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324A2">
              <w:rPr>
                <w:rFonts w:cs="Arial" w:hint="cs"/>
                <w:sz w:val="16"/>
                <w:szCs w:val="16"/>
                <w:rtl/>
              </w:rPr>
              <w:t xml:space="preserve">معدات الوقاية الشخصية غير متاحة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93AB3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93AB3">
              <w:rPr>
                <w:rFonts w:cs="Arial" w:hint="cs"/>
                <w:sz w:val="16"/>
                <w:szCs w:val="16"/>
                <w:rtl/>
              </w:rPr>
              <w:t xml:space="preserve">السلوكيات الخطيرة غير المحددة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F5DD1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F5DD1">
              <w:rPr>
                <w:rFonts w:cs="Arial" w:hint="cs"/>
                <w:sz w:val="16"/>
                <w:szCs w:val="16"/>
                <w:rtl/>
              </w:rPr>
              <w:t>اعتبارات بيئة التشغيل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86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4.0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1834C4" w:rsidRPr="001834C4">
              <w:rPr>
                <w:rFonts w:cs="Arial"/>
                <w:b/>
                <w:bCs/>
                <w:sz w:val="16"/>
                <w:szCs w:val="16"/>
                <w:rtl/>
              </w:rPr>
              <w:t>عدم الانتباه/ نقص الوعي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2304D" w:rsidRPr="0002304D">
              <w:rPr>
                <w:rFonts w:cs="Arial"/>
                <w:sz w:val="16"/>
                <w:szCs w:val="16"/>
                <w:rtl/>
              </w:rPr>
              <w:t>الاستجابة للأفعال غير الآمنة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65B46" w:rsidRPr="00865B46">
              <w:rPr>
                <w:rFonts w:cs="Arial"/>
                <w:sz w:val="16"/>
                <w:szCs w:val="16"/>
                <w:rtl/>
              </w:rPr>
              <w:t>المعايير/ المواصفات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24F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24FDD">
              <w:rPr>
                <w:rFonts w:cs="Arial" w:hint="cs"/>
                <w:sz w:val="16"/>
                <w:szCs w:val="16"/>
                <w:rtl/>
              </w:rPr>
              <w:t>الضجيج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309F4" w:rsidRPr="004309F4">
              <w:rPr>
                <w:rFonts w:cs="Arial"/>
                <w:sz w:val="16"/>
                <w:szCs w:val="16"/>
                <w:rtl/>
              </w:rPr>
              <w:t>الحوافز الإنتاجية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61D4D" w:rsidRPr="00361D4D">
              <w:rPr>
                <w:rFonts w:cs="Arial"/>
                <w:sz w:val="16"/>
                <w:szCs w:val="16"/>
                <w:rtl/>
              </w:rPr>
              <w:t>التوفر (الأدوات/ المعدات)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24FDD" w:rsidRPr="00824FDD">
              <w:rPr>
                <w:rFonts w:cs="Arial"/>
                <w:sz w:val="16"/>
                <w:szCs w:val="16"/>
                <w:rtl/>
              </w:rPr>
              <w:t>أعمال العنف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11.7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309F4" w:rsidRPr="004309F4">
              <w:rPr>
                <w:rFonts w:cs="Arial"/>
                <w:sz w:val="16"/>
                <w:szCs w:val="16"/>
                <w:rtl/>
              </w:rPr>
              <w:t>قيود الوقت والتكاليف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43FFB" w:rsidRPr="00A43FFB">
              <w:rPr>
                <w:rFonts w:cs="Arial"/>
                <w:sz w:val="16"/>
                <w:szCs w:val="16"/>
                <w:rtl/>
              </w:rPr>
              <w:t>التعديل/ الإصلاح/ الصيانة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E5DD8" w:rsidRPr="00CE5DD8">
              <w:rPr>
                <w:rFonts w:cs="Arial"/>
                <w:sz w:val="16"/>
                <w:szCs w:val="16"/>
                <w:rtl/>
              </w:rPr>
              <w:t>الفشل في التحذير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8758CF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12.0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30175D" w:rsidRPr="0030175D">
              <w:rPr>
                <w:rFonts w:cs="Arial"/>
                <w:b/>
                <w:bCs/>
                <w:sz w:val="16"/>
                <w:szCs w:val="16"/>
                <w:rtl/>
              </w:rPr>
              <w:t xml:space="preserve">مستوى </w:t>
            </w:r>
            <w:r w:rsidR="008758CF">
              <w:rPr>
                <w:rFonts w:cs="Arial" w:hint="cs"/>
                <w:b/>
                <w:bCs/>
                <w:sz w:val="16"/>
                <w:szCs w:val="16"/>
                <w:rtl/>
              </w:rPr>
              <w:t>المهارات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33A08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33A08">
              <w:rPr>
                <w:rFonts w:cs="Arial" w:hint="cs"/>
                <w:sz w:val="16"/>
                <w:szCs w:val="16"/>
                <w:rtl/>
              </w:rPr>
              <w:t xml:space="preserve">الإنقاذ والاستصلاح 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53B73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4.4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53B73" w:rsidRPr="00053B73">
              <w:rPr>
                <w:rFonts w:cs="Arial"/>
                <w:sz w:val="16"/>
                <w:szCs w:val="16"/>
                <w:rtl/>
              </w:rPr>
              <w:t>القرارات/ إصدار الأحكام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12.1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F38AE" w:rsidRPr="001F38AE">
              <w:rPr>
                <w:rFonts w:cs="Arial"/>
                <w:sz w:val="16"/>
                <w:szCs w:val="16"/>
                <w:rtl/>
              </w:rPr>
              <w:t>تقييم المهارات المطلوبة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9E6CD7" w:rsidRPr="009E6CD7">
              <w:rPr>
                <w:rFonts w:cs="Arial"/>
                <w:sz w:val="16"/>
                <w:szCs w:val="16"/>
                <w:rtl/>
              </w:rPr>
              <w:t>إزالة/ استبدال العناصر غير المناسبة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2132E1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132E1">
              <w:rPr>
                <w:rFonts w:cs="Arial" w:hint="cs"/>
                <w:sz w:val="16"/>
                <w:szCs w:val="16"/>
                <w:rtl/>
              </w:rPr>
              <w:t>الانشغال بمشاكل أخرى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12.2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FE3F3D" w:rsidRPr="00FE3F3D">
              <w:rPr>
                <w:rFonts w:cs="Arial"/>
                <w:sz w:val="16"/>
                <w:szCs w:val="16"/>
                <w:rtl/>
              </w:rPr>
              <w:t>ممارسة المهارات المطلوبة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08379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20.8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528A0">
              <w:rPr>
                <w:rFonts w:cs="Arial" w:hint="cs"/>
                <w:sz w:val="16"/>
                <w:szCs w:val="16"/>
                <w:rtl/>
              </w:rPr>
              <w:t xml:space="preserve">سجل </w:t>
            </w:r>
            <w:r w:rsidR="0008379F">
              <w:rPr>
                <w:rFonts w:cs="Arial" w:hint="cs"/>
                <w:sz w:val="16"/>
                <w:szCs w:val="16"/>
                <w:rtl/>
              </w:rPr>
              <w:t>دفتر</w:t>
            </w:r>
            <w:r w:rsidR="007528A0">
              <w:rPr>
                <w:rFonts w:cs="Arial" w:hint="cs"/>
                <w:sz w:val="16"/>
                <w:szCs w:val="16"/>
                <w:rtl/>
              </w:rPr>
              <w:t xml:space="preserve"> المعدات </w:t>
            </w:r>
          </w:p>
        </w:tc>
      </w:tr>
      <w:tr w:rsidR="00BC63FE" w:rsidRPr="00C9479E" w:rsidTr="00CE477B">
        <w:trPr>
          <w:trHeight w:val="182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35445" w:rsidRPr="00C35445">
              <w:rPr>
                <w:rFonts w:cs="Arial"/>
                <w:sz w:val="16"/>
                <w:szCs w:val="16"/>
                <w:rtl/>
              </w:rPr>
              <w:t>عدم الانتباه إلى موضع القدم/ الأشياء المحيطة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0A469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12.3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A469D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أداء المهارات 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06076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21.0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06076D">
              <w:rPr>
                <w:rFonts w:cs="Arial" w:hint="cs"/>
                <w:b/>
                <w:bCs/>
                <w:sz w:val="16"/>
                <w:szCs w:val="16"/>
                <w:rtl/>
              </w:rPr>
              <w:t>السياسات/ المعايير/ الإجراءات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A0AC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A0ACF" w:rsidRPr="003A0ACF">
              <w:rPr>
                <w:rFonts w:cs="Arial"/>
                <w:sz w:val="16"/>
                <w:szCs w:val="16"/>
                <w:rtl/>
              </w:rPr>
              <w:t>الأنشطة الروتينية (التهاون)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4E54C8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12.4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E54C8">
              <w:rPr>
                <w:rFonts w:cs="Arial" w:hint="cs"/>
                <w:sz w:val="16"/>
                <w:szCs w:val="16"/>
                <w:rtl/>
              </w:rPr>
              <w:t>المهارات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21.1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66C9B" w:rsidRPr="00266C9B">
              <w:rPr>
                <w:rFonts w:cs="Arial"/>
                <w:sz w:val="16"/>
                <w:szCs w:val="16"/>
                <w:rtl/>
              </w:rPr>
              <w:t>خطة الجدول الزمني للمشروع للعمل المنجز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C376A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C376A">
              <w:rPr>
                <w:rFonts w:cs="Arial" w:hint="cs"/>
                <w:sz w:val="16"/>
                <w:szCs w:val="16"/>
                <w:rtl/>
              </w:rPr>
              <w:t>إدمان المخدرات أو الكحول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7D2A6E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13.0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7D2A6E"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>أخرى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AE45F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21.2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E45FE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إعداد خطة </w:t>
            </w:r>
            <w:r w:rsidR="00266C9B">
              <w:rPr>
                <w:rFonts w:cs="Arial" w:hint="cs"/>
                <w:sz w:val="16"/>
                <w:szCs w:val="16"/>
                <w:rtl/>
                <w:lang w:bidi="ar-EG"/>
              </w:rPr>
              <w:t>الجدول الزمني</w:t>
            </w:r>
            <w:r w:rsidR="00636773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للمشروع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BC63FE" w:rsidRPr="00C9479E" w:rsidRDefault="00BC63FE" w:rsidP="001E009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4.9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E009F">
              <w:rPr>
                <w:rFonts w:cs="Arial" w:hint="cs"/>
                <w:sz w:val="16"/>
                <w:szCs w:val="16"/>
                <w:rtl/>
              </w:rPr>
              <w:t xml:space="preserve">تناول الأدوية الموصوفة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D582C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D582C">
              <w:rPr>
                <w:rFonts w:cs="Arial" w:hint="cs"/>
                <w:sz w:val="16"/>
                <w:szCs w:val="16"/>
                <w:rtl/>
              </w:rPr>
              <w:t>إصدار الأحكام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36619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21.3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36619">
              <w:rPr>
                <w:rFonts w:cs="Arial" w:hint="cs"/>
                <w:sz w:val="16"/>
                <w:szCs w:val="16"/>
                <w:rtl/>
              </w:rPr>
              <w:t>تنفيذ خطة الجدول الزمني</w:t>
            </w:r>
            <w:r w:rsidR="00636773">
              <w:rPr>
                <w:rFonts w:cs="Arial" w:hint="cs"/>
                <w:sz w:val="16"/>
                <w:szCs w:val="16"/>
                <w:rtl/>
              </w:rPr>
              <w:t xml:space="preserve"> للمشروع</w:t>
            </w:r>
          </w:p>
        </w:tc>
      </w:tr>
      <w:tr w:rsidR="00BC63FE" w:rsidRPr="00C9479E" w:rsidTr="00CE477B">
        <w:trPr>
          <w:trHeight w:val="162"/>
          <w:jc w:val="center"/>
        </w:trPr>
        <w:tc>
          <w:tcPr>
            <w:tcW w:w="3540" w:type="dxa"/>
            <w:gridSpan w:val="2"/>
            <w:shd w:val="clear" w:color="auto" w:fill="E36C0A" w:themeFill="accent6" w:themeFillShade="BF"/>
            <w:vAlign w:val="center"/>
          </w:tcPr>
          <w:p w:rsidR="00BC63FE" w:rsidRPr="00C9479E" w:rsidRDefault="00A634CB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الشروط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826F6" w:rsidRPr="004826F6">
              <w:rPr>
                <w:rFonts w:cs="Arial"/>
                <w:sz w:val="16"/>
                <w:szCs w:val="16"/>
                <w:rtl/>
              </w:rPr>
              <w:t>الذاكرة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D549C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21.4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549CE">
              <w:rPr>
                <w:rFonts w:cs="Arial" w:hint="cs"/>
                <w:sz w:val="16"/>
                <w:szCs w:val="16"/>
                <w:rtl/>
              </w:rPr>
              <w:t>تطبيق خطة الجدول الزمني</w:t>
            </w:r>
            <w:r w:rsidR="00636773">
              <w:rPr>
                <w:rFonts w:cs="Arial" w:hint="cs"/>
                <w:sz w:val="16"/>
                <w:szCs w:val="16"/>
                <w:rtl/>
              </w:rPr>
              <w:t xml:space="preserve"> للمشروع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86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5.0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480C4D" w:rsidRPr="00480C4D">
              <w:rPr>
                <w:rFonts w:cs="Arial"/>
                <w:b/>
                <w:bCs/>
                <w:sz w:val="16"/>
                <w:szCs w:val="16"/>
                <w:rtl/>
              </w:rPr>
              <w:t>أنظمة الحماية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11647" w:rsidRPr="00D11647">
              <w:rPr>
                <w:rFonts w:cs="Arial"/>
                <w:sz w:val="16"/>
                <w:szCs w:val="16"/>
                <w:rtl/>
              </w:rPr>
              <w:t>الظروف السيئة أو وقت رد الفعل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B7523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21.5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B7523E">
              <w:rPr>
                <w:rFonts w:cs="Arial" w:hint="cs"/>
                <w:sz w:val="16"/>
                <w:szCs w:val="16"/>
                <w:rtl/>
              </w:rPr>
              <w:t>وسائل الاتصال الخاصة بخطة الجدول الزمني للمشروع</w:t>
            </w:r>
          </w:p>
        </w:tc>
      </w:tr>
      <w:tr w:rsidR="00BC63FE" w:rsidRPr="00C9479E" w:rsidTr="00CE477B">
        <w:trPr>
          <w:trHeight w:val="126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E3F8D" w:rsidRPr="008E3F8D">
              <w:rPr>
                <w:rFonts w:cs="Arial"/>
                <w:sz w:val="16"/>
                <w:szCs w:val="16"/>
                <w:rtl/>
              </w:rPr>
              <w:t>استخدام أجهزة الحراسة/ السلامة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A026C" w:rsidRPr="000A026C">
              <w:rPr>
                <w:rFonts w:cs="Arial"/>
                <w:sz w:val="16"/>
                <w:szCs w:val="16"/>
                <w:rtl/>
              </w:rPr>
              <w:t>الاضطراب العاطفي</w:t>
            </w: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574" w:type="dxa"/>
            <w:tcBorders>
              <w:bottom w:val="nil"/>
            </w:tcBorders>
            <w:vAlign w:val="center"/>
          </w:tcPr>
          <w:p w:rsidR="00BC63FE" w:rsidRPr="00C9479E" w:rsidRDefault="00BC63FE" w:rsidP="0090073E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22.0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90073E">
              <w:rPr>
                <w:rFonts w:cs="Arial" w:hint="cs"/>
                <w:b/>
                <w:bCs/>
                <w:sz w:val="16"/>
                <w:szCs w:val="16"/>
                <w:rtl/>
              </w:rPr>
              <w:t>الاتصالات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E3F8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E3F8D" w:rsidRPr="008E3F8D">
              <w:rPr>
                <w:rFonts w:cs="Arial"/>
                <w:sz w:val="16"/>
                <w:szCs w:val="16"/>
                <w:rtl/>
              </w:rPr>
              <w:t>خصائص أجهزة الحراسة/ السلامة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A81CE5" w:rsidRPr="00A81CE5">
              <w:rPr>
                <w:rFonts w:cs="Arial"/>
                <w:sz w:val="16"/>
                <w:szCs w:val="16"/>
                <w:rtl/>
              </w:rPr>
              <w:t>المخاوف والرهاب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D35CD" w:rsidRPr="00DD35CD">
              <w:rPr>
                <w:rFonts w:cs="Arial"/>
                <w:sz w:val="16"/>
                <w:szCs w:val="16"/>
                <w:rtl/>
              </w:rPr>
              <w:t>أفقي (نظير إلى نظير)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F047B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F047B2">
              <w:rPr>
                <w:rFonts w:cs="Arial" w:hint="cs"/>
                <w:sz w:val="16"/>
                <w:szCs w:val="16"/>
                <w:rtl/>
              </w:rPr>
              <w:t xml:space="preserve">استخدام معدات الوقاية الشخصية 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D004D" w:rsidRPr="00CD004D">
              <w:rPr>
                <w:rFonts w:cs="Arial"/>
                <w:sz w:val="16"/>
                <w:szCs w:val="16"/>
                <w:rtl/>
              </w:rPr>
              <w:t>الانشغال/ المشاكل/ المخاوف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sz w:val="16"/>
                <w:szCs w:val="16"/>
              </w:rPr>
              <w:t>22.2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D35CD" w:rsidRPr="00DD35CD">
              <w:rPr>
                <w:rFonts w:cs="Arial"/>
                <w:sz w:val="16"/>
                <w:szCs w:val="16"/>
                <w:rtl/>
              </w:rPr>
              <w:t>عمودي (موظف إلى مشرف)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F047B2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F047B2">
              <w:rPr>
                <w:rFonts w:cs="Arial" w:hint="cs"/>
                <w:sz w:val="16"/>
                <w:szCs w:val="16"/>
                <w:rtl/>
              </w:rPr>
              <w:t xml:space="preserve">خصائص معدات الوقاية الشخصية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45514" w:rsidRPr="00645514">
              <w:rPr>
                <w:rFonts w:cs="Arial"/>
                <w:sz w:val="16"/>
                <w:szCs w:val="16"/>
                <w:rtl/>
              </w:rPr>
              <w:t>التوجيهات/ المطالب المتعارضة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DD35C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DD35CD">
              <w:rPr>
                <w:rFonts w:cs="Arial" w:hint="cs"/>
                <w:sz w:val="16"/>
                <w:szCs w:val="16"/>
                <w:rtl/>
              </w:rPr>
              <w:t>بين المؤسسات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8697B" w:rsidRPr="0018697B">
              <w:rPr>
                <w:rFonts w:cs="Arial"/>
                <w:sz w:val="16"/>
                <w:szCs w:val="16"/>
                <w:rtl/>
              </w:rPr>
              <w:t>فعالية أنظمة الإنذار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CB6143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B6143">
              <w:rPr>
                <w:rFonts w:cs="Arial" w:hint="cs"/>
                <w:sz w:val="16"/>
                <w:szCs w:val="16"/>
                <w:rtl/>
              </w:rPr>
              <w:t xml:space="preserve">التوجيهات/ الطلبات المحيرة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E953AB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953AB">
              <w:rPr>
                <w:rFonts w:cs="Arial" w:hint="cs"/>
                <w:sz w:val="16"/>
                <w:szCs w:val="16"/>
                <w:rtl/>
              </w:rPr>
              <w:t>بين مجموعات العمل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CB474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CB474E">
              <w:rPr>
                <w:rFonts w:cs="Arial" w:hint="cs"/>
                <w:sz w:val="16"/>
                <w:szCs w:val="16"/>
                <w:rtl/>
              </w:rPr>
              <w:t>خصائص أنظمة الإنذار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13.9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833D4" w:rsidRPr="000833D4">
              <w:rPr>
                <w:rFonts w:cs="Arial"/>
                <w:sz w:val="16"/>
                <w:szCs w:val="16"/>
                <w:rtl/>
              </w:rPr>
              <w:t>الإحباط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E953AB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22.5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953AB">
              <w:rPr>
                <w:rFonts w:cs="Arial" w:hint="cs"/>
                <w:sz w:val="16"/>
                <w:szCs w:val="16"/>
                <w:rtl/>
              </w:rPr>
              <w:t xml:space="preserve">بين المناوبات 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5.7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061782" w:rsidRPr="00061782">
              <w:rPr>
                <w:rFonts w:cs="Arial"/>
                <w:sz w:val="16"/>
                <w:szCs w:val="16"/>
                <w:rtl/>
              </w:rPr>
              <w:t>العزل (الإغلاق/ ووضع العلامات)</w:t>
            </w:r>
          </w:p>
        </w:tc>
        <w:tc>
          <w:tcPr>
            <w:tcW w:w="3517" w:type="dxa"/>
            <w:gridSpan w:val="3"/>
            <w:shd w:val="clear" w:color="auto" w:fill="E36C0A" w:themeFill="accent6" w:themeFillShade="BF"/>
            <w:vAlign w:val="center"/>
          </w:tcPr>
          <w:p w:rsidR="00BC63FE" w:rsidRPr="00C9479E" w:rsidRDefault="00A556E3" w:rsidP="005A6BDD">
            <w:pPr>
              <w:tabs>
                <w:tab w:val="left" w:pos="465"/>
              </w:tabs>
              <w:bidi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عوامل الوظيفة </w:t>
            </w:r>
            <w:r w:rsidR="00C814FD"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="00D5675B"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F5AA0" w:rsidRPr="008F5AA0">
              <w:rPr>
                <w:rFonts w:cs="Arial"/>
                <w:sz w:val="16"/>
                <w:szCs w:val="16"/>
                <w:rtl/>
              </w:rPr>
              <w:t>وسائل الاتصال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86" w:type="dxa"/>
            <w:tcBorders>
              <w:bottom w:val="nil"/>
            </w:tcBorders>
            <w:vAlign w:val="center"/>
          </w:tcPr>
          <w:p w:rsidR="00BC63FE" w:rsidRPr="00C9479E" w:rsidRDefault="00BC63FE" w:rsidP="00FA100A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6.0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FA100A">
              <w:rPr>
                <w:rFonts w:cs="Arial" w:hint="cs"/>
                <w:b/>
                <w:bCs/>
                <w:sz w:val="16"/>
                <w:szCs w:val="16"/>
                <w:rtl/>
              </w:rPr>
              <w:t>الأدوات والمعدات والسيارات</w:t>
            </w: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bottom w:val="nil"/>
            </w:tcBorders>
            <w:vAlign w:val="center"/>
          </w:tcPr>
          <w:p w:rsidR="00BC63FE" w:rsidRPr="00C9479E" w:rsidRDefault="00BC63FE" w:rsidP="00386177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14.0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386177" w:rsidRPr="00386177">
              <w:rPr>
                <w:rFonts w:cs="Arial"/>
                <w:b/>
                <w:bCs/>
                <w:sz w:val="16"/>
                <w:szCs w:val="16"/>
                <w:rtl/>
              </w:rPr>
              <w:t>التدريب/ نقل المعرفة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F5AA0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22.7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F5AA0">
              <w:rPr>
                <w:rFonts w:cs="Arial" w:hint="cs"/>
                <w:sz w:val="16"/>
                <w:szCs w:val="16"/>
                <w:rtl/>
              </w:rPr>
              <w:t xml:space="preserve">وسائل الاتصال المتاحة 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D2A38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6.1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D2A38">
              <w:rPr>
                <w:rFonts w:cs="Arial" w:hint="cs"/>
                <w:sz w:val="16"/>
                <w:szCs w:val="16"/>
                <w:rtl/>
              </w:rPr>
              <w:t>استخدام المعدات/ الأدوات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1C4022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14.1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C4022">
              <w:rPr>
                <w:rFonts w:cs="Arial" w:hint="cs"/>
                <w:sz w:val="16"/>
                <w:szCs w:val="16"/>
                <w:rtl/>
              </w:rPr>
              <w:t xml:space="preserve">نقل المعرفة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8F5AA0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22.8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8F5AA0">
              <w:rPr>
                <w:rFonts w:cs="Arial" w:hint="cs"/>
                <w:sz w:val="16"/>
                <w:szCs w:val="16"/>
                <w:rtl/>
              </w:rPr>
              <w:t>التعليمات</w:t>
            </w:r>
          </w:p>
        </w:tc>
      </w:tr>
      <w:tr w:rsidR="00BC63FE" w:rsidRPr="00C9479E" w:rsidTr="00CE477B">
        <w:trPr>
          <w:trHeight w:val="150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10E4C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6.2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310E4C">
              <w:rPr>
                <w:rFonts w:cs="Arial" w:hint="cs"/>
                <w:sz w:val="16"/>
                <w:szCs w:val="16"/>
                <w:rtl/>
              </w:rPr>
              <w:t>خصائص المعدات/ الأدوات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E4664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14.2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E4664">
              <w:rPr>
                <w:rFonts w:cs="Arial" w:hint="cs"/>
                <w:sz w:val="16"/>
                <w:szCs w:val="16"/>
                <w:rtl/>
              </w:rPr>
              <w:t xml:space="preserve">التذكير بالتدريب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416514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22.9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16514">
              <w:rPr>
                <w:rFonts w:cs="Arial" w:hint="cs"/>
                <w:sz w:val="16"/>
                <w:szCs w:val="16"/>
                <w:rtl/>
              </w:rPr>
              <w:t>تبديل الموظفيين</w:t>
            </w:r>
          </w:p>
        </w:tc>
      </w:tr>
      <w:tr w:rsidR="00BC63FE" w:rsidRPr="00C9479E" w:rsidTr="00CE477B">
        <w:trPr>
          <w:trHeight w:val="13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E42B80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6.3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E42B80">
              <w:rPr>
                <w:rFonts w:cs="Arial" w:hint="cs"/>
                <w:sz w:val="16"/>
                <w:szCs w:val="16"/>
                <w:rtl/>
              </w:rPr>
              <w:t>تحضير المعدات/ الأدوات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554DF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14.3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554DF" w:rsidRPr="006554DF">
              <w:rPr>
                <w:rFonts w:cs="Arial"/>
                <w:sz w:val="16"/>
                <w:szCs w:val="16"/>
                <w:rtl/>
              </w:rPr>
              <w:t xml:space="preserve">التدريب المقدم </w:t>
            </w:r>
            <w:r w:rsidR="006554DF">
              <w:rPr>
                <w:rFonts w:cs="Arial" w:hint="cs"/>
                <w:sz w:val="16"/>
                <w:szCs w:val="16"/>
                <w:rtl/>
              </w:rPr>
              <w:t xml:space="preserve">من أجل العمل 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7647EE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22.10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7647EE">
              <w:rPr>
                <w:rFonts w:cs="Arial" w:hint="cs"/>
                <w:sz w:val="16"/>
                <w:szCs w:val="16"/>
                <w:rtl/>
              </w:rPr>
              <w:t>بيانات اتصال الصحة والسلامة والأمن والبيئة</w:t>
            </w:r>
          </w:p>
        </w:tc>
      </w:tr>
      <w:tr w:rsidR="00BC63FE" w:rsidRPr="00C9479E" w:rsidTr="00CE477B">
        <w:trPr>
          <w:trHeight w:val="78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635710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6.4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635710">
              <w:rPr>
                <w:rFonts w:cs="Arial" w:hint="cs"/>
                <w:sz w:val="16"/>
                <w:szCs w:val="16"/>
                <w:rtl/>
              </w:rPr>
              <w:t xml:space="preserve">السيارات المعيبة 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8"/>
                <w:szCs w:val="18"/>
              </w:rPr>
            </w:pPr>
            <w:r w:rsidRPr="00C9479E">
              <w:rPr>
                <w:rFonts w:cs="Arial"/>
                <w:sz w:val="18"/>
                <w:szCs w:val="18"/>
              </w:rPr>
              <w:sym w:font="Webdings" w:char="F067"/>
            </w: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3548EC">
            <w:pPr>
              <w:tabs>
                <w:tab w:val="left" w:pos="46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b/>
                <w:bCs/>
                <w:sz w:val="16"/>
                <w:szCs w:val="16"/>
              </w:rPr>
              <w:t>15.0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3548EC">
              <w:rPr>
                <w:rFonts w:cs="Arial" w:hint="cs"/>
                <w:b/>
                <w:bCs/>
                <w:sz w:val="16"/>
                <w:szCs w:val="16"/>
                <w:rtl/>
              </w:rPr>
              <w:t>القيادة (الإدارة)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22.11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A26FF" w:rsidRPr="004A26FF">
              <w:rPr>
                <w:rFonts w:cs="Arial"/>
                <w:sz w:val="16"/>
                <w:szCs w:val="16"/>
                <w:rtl/>
              </w:rPr>
              <w:t>المصطلحات القياسية</w:t>
            </w:r>
          </w:p>
        </w:tc>
      </w:tr>
      <w:tr w:rsidR="00BC63FE" w:rsidRPr="00C9479E" w:rsidTr="00CE477B">
        <w:trPr>
          <w:trHeight w:val="162"/>
          <w:jc w:val="center"/>
        </w:trPr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465E46">
            <w:pPr>
              <w:tabs>
                <w:tab w:val="left" w:pos="480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 xml:space="preserve">6.5 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65E46">
              <w:rPr>
                <w:rFonts w:cs="Arial" w:hint="cs"/>
                <w:sz w:val="16"/>
                <w:szCs w:val="16"/>
                <w:rtl/>
              </w:rPr>
              <w:t>السيارات المناسبة لهذه الأغراض</w:t>
            </w: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15.1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757DC" w:rsidRPr="002757DC">
              <w:rPr>
                <w:rFonts w:cs="Arial"/>
                <w:sz w:val="16"/>
                <w:szCs w:val="16"/>
                <w:rtl/>
              </w:rPr>
              <w:t>الأدوار أو المسؤوليات المتعارضة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vAlign w:val="center"/>
          </w:tcPr>
          <w:p w:rsidR="00BC63FE" w:rsidRPr="00C9479E" w:rsidRDefault="00BC63FE" w:rsidP="00461ADF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22.12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61ADF">
              <w:rPr>
                <w:rFonts w:cs="Arial" w:hint="cs"/>
                <w:sz w:val="16"/>
                <w:szCs w:val="16"/>
                <w:rtl/>
              </w:rPr>
              <w:t>ممارسات التحقق</w:t>
            </w:r>
            <w:r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C63FE" w:rsidRPr="00C9479E" w:rsidTr="00CE477B">
        <w:trPr>
          <w:trHeight w:val="162"/>
          <w:jc w:val="center"/>
        </w:trPr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BC63FE" w:rsidRPr="00C9479E" w:rsidRDefault="00BC63FE" w:rsidP="00D2141B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6.6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1704B0">
              <w:rPr>
                <w:rFonts w:cs="Arial" w:hint="cs"/>
                <w:sz w:val="16"/>
                <w:szCs w:val="16"/>
                <w:rtl/>
              </w:rPr>
              <w:t>تحضير</w:t>
            </w:r>
            <w:r w:rsidR="00D2141B">
              <w:rPr>
                <w:rFonts w:cs="Arial" w:hint="cs"/>
                <w:sz w:val="16"/>
                <w:szCs w:val="16"/>
                <w:rtl/>
              </w:rPr>
              <w:t xml:space="preserve"> السيارات </w:t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tcBorders>
              <w:top w:val="nil"/>
            </w:tcBorders>
            <w:vAlign w:val="center"/>
          </w:tcPr>
          <w:p w:rsidR="00BC63FE" w:rsidRPr="00C9479E" w:rsidRDefault="00BC63FE" w:rsidP="002757DC">
            <w:pPr>
              <w:tabs>
                <w:tab w:val="left" w:pos="465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15.2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2757DC">
              <w:rPr>
                <w:rFonts w:cs="Arial" w:hint="cs"/>
                <w:sz w:val="16"/>
                <w:szCs w:val="16"/>
                <w:rtl/>
              </w:rPr>
              <w:t xml:space="preserve">ممارسات القيادة </w:t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nil"/>
            </w:tcBorders>
            <w:vAlign w:val="center"/>
          </w:tcPr>
          <w:p w:rsidR="00BC63FE" w:rsidRPr="00C9479E" w:rsidRDefault="00BC63FE" w:rsidP="005A6BDD">
            <w:pPr>
              <w:tabs>
                <w:tab w:val="left" w:pos="480"/>
              </w:tabs>
              <w:bidi/>
              <w:rPr>
                <w:rFonts w:cs="Arial"/>
                <w:sz w:val="16"/>
                <w:szCs w:val="16"/>
              </w:rPr>
            </w:pPr>
            <w:r w:rsidRPr="00C9479E">
              <w:rPr>
                <w:rFonts w:cs="Arial"/>
                <w:sz w:val="16"/>
                <w:szCs w:val="16"/>
              </w:rPr>
              <w:t>22.13</w:t>
            </w:r>
            <w:r w:rsidRPr="00C9479E">
              <w:rPr>
                <w:rFonts w:cs="Arial"/>
                <w:sz w:val="16"/>
                <w:szCs w:val="16"/>
              </w:rPr>
              <w:tab/>
            </w:r>
            <w:r w:rsidR="004D669F" w:rsidRPr="004D669F">
              <w:rPr>
                <w:rFonts w:cs="Arial"/>
                <w:sz w:val="16"/>
                <w:szCs w:val="16"/>
                <w:rtl/>
              </w:rPr>
              <w:t>الاختلافات اللغوية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4029DD" w:rsidRPr="00FB2569" w:rsidRDefault="004029DD" w:rsidP="00F0166F">
      <w:pPr>
        <w:bidi/>
      </w:pPr>
    </w:p>
    <w:sectPr w:rsidR="004029DD" w:rsidRPr="00FB2569" w:rsidSect="006B749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56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76" w:rsidRDefault="00D12576">
      <w:r>
        <w:separator/>
      </w:r>
    </w:p>
    <w:p w:rsidR="00D12576" w:rsidRDefault="00D12576"/>
  </w:endnote>
  <w:endnote w:type="continuationSeparator" w:id="0">
    <w:p w:rsidR="00D12576" w:rsidRDefault="00D12576">
      <w:r>
        <w:continuationSeparator/>
      </w:r>
    </w:p>
    <w:p w:rsidR="00D12576" w:rsidRDefault="00D12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76" w:rsidRPr="006C1ABD" w:rsidRDefault="00754576" w:rsidP="0075457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B92326" wp14:editId="0F8636B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199CF" id="Straight Connector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962327046"/>
        <w:placeholder>
          <w:docPart w:val="47FE9EB82A224094951E20F989EE8C6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EPM-KSS-TP-000024-AR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800200999"/>
        <w:placeholder>
          <w:docPart w:val="97A98A49CC5A4523B9476EA883BD339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754576" w:rsidRPr="006C1ABD" w:rsidRDefault="00754576" w:rsidP="0075457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CA347C" w:rsidRPr="0096398D" w:rsidRDefault="00754576" w:rsidP="00754576">
    <w:pPr>
      <w:pStyle w:val="Footer"/>
      <w:jc w:val="left"/>
      <w:rPr>
        <w:sz w:val="16"/>
        <w:szCs w:val="16"/>
        <w:lang w:val="en-AU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75457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76" w:rsidRPr="006C1ABD" w:rsidRDefault="00754576" w:rsidP="0075457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EECCC26" wp14:editId="4D609FD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3C6C19" id="Straight Connector 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B3AC2CCFE404BC0A38AA8D64510510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EPM-KSS-TP-000024-AR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9C408CB30944BF389F0C0661BB9596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754576" w:rsidRPr="006C1ABD" w:rsidRDefault="00754576" w:rsidP="0075457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04661" w:rsidRPr="00754576" w:rsidRDefault="00754576" w:rsidP="00754576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75457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76" w:rsidRDefault="00D12576">
      <w:r>
        <w:separator/>
      </w:r>
    </w:p>
    <w:p w:rsidR="00D12576" w:rsidRDefault="00D12576"/>
  </w:footnote>
  <w:footnote w:type="continuationSeparator" w:id="0">
    <w:p w:rsidR="00D12576" w:rsidRDefault="00D12576">
      <w:r>
        <w:continuationSeparator/>
      </w:r>
    </w:p>
    <w:p w:rsidR="00D12576" w:rsidRDefault="00D1257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4730C7" w:rsidTr="00A94F1E">
      <w:trPr>
        <w:trHeight w:val="420"/>
        <w:jc w:val="center"/>
      </w:trPr>
      <w:tc>
        <w:tcPr>
          <w:tcW w:w="284" w:type="dxa"/>
        </w:tcPr>
        <w:p w:rsidR="004730C7" w:rsidRDefault="004730C7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b w:val="0"/>
              <w:bCs/>
              <w:sz w:val="24"/>
              <w:szCs w:val="24"/>
              <w:lang w:val="en-GB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730C7" w:rsidRPr="001D4EED" w:rsidRDefault="001D4EED" w:rsidP="00D91F6F">
              <w:pPr>
                <w:pStyle w:val="Heading1"/>
                <w:numPr>
                  <w:ilvl w:val="0"/>
                  <w:numId w:val="0"/>
                </w:numPr>
                <w:ind w:left="562"/>
                <w:jc w:val="center"/>
                <w:outlineLvl w:val="0"/>
                <w:rPr>
                  <w:rFonts w:ascii="Arial" w:hAnsi="Arial"/>
                  <w:b w:val="0"/>
                  <w:bCs/>
                  <w:kern w:val="32"/>
                  <w:sz w:val="24"/>
                  <w:szCs w:val="24"/>
                  <w:lang w:val="en-GB"/>
                </w:rPr>
              </w:pPr>
              <w:r w:rsidRPr="001D4EED">
                <w:rPr>
                  <w:b w:val="0"/>
                  <w:bCs/>
                  <w:sz w:val="24"/>
                  <w:szCs w:val="24"/>
                  <w:rtl/>
                  <w:lang w:val="en-GB"/>
                </w:rPr>
                <w:t>تقرير الإخطار بوقوع حوادث الخاص بالمشروع</w:t>
              </w:r>
            </w:p>
          </w:sdtContent>
        </w:sdt>
      </w:tc>
    </w:tr>
  </w:tbl>
  <w:p w:rsidR="004730C7" w:rsidRPr="00AC1B11" w:rsidRDefault="00F0166F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49024" behindDoc="0" locked="0" layoutInCell="1" allowOverlap="1" wp14:anchorId="759EA17E" wp14:editId="61A65010">
          <wp:simplePos x="0" y="0"/>
          <wp:positionH relativeFrom="margin">
            <wp:posOffset>-695325</wp:posOffset>
          </wp:positionH>
          <wp:positionV relativeFrom="margin">
            <wp:posOffset>-794385</wp:posOffset>
          </wp:positionV>
          <wp:extent cx="1837446" cy="804558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9A" w:rsidRPr="00DA7211" w:rsidRDefault="00F0166F" w:rsidP="006F7030">
    <w:pPr>
      <w:pStyle w:val="Heading1"/>
      <w:numPr>
        <w:ilvl w:val="0"/>
        <w:numId w:val="0"/>
      </w:numPr>
      <w:ind w:left="562" w:hanging="562"/>
      <w:jc w:val="center"/>
      <w:rPr>
        <w:b w:val="0"/>
        <w:bCs/>
        <w:szCs w:val="26"/>
      </w:rPr>
    </w:pPr>
    <w:bookmarkStart w:id="7" w:name="_Toc491345678"/>
    <w:bookmarkStart w:id="8" w:name="_Toc493085229"/>
    <w:bookmarkStart w:id="9" w:name="_Toc493086694"/>
    <w:bookmarkStart w:id="10" w:name="_Toc493501949"/>
    <w:bookmarkStart w:id="11" w:name="_Toc495391854"/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46464" behindDoc="0" locked="0" layoutInCell="1" allowOverlap="1" wp14:anchorId="4377E731" wp14:editId="69ED0928">
          <wp:simplePos x="0" y="0"/>
          <wp:positionH relativeFrom="margin">
            <wp:posOffset>-809625</wp:posOffset>
          </wp:positionH>
          <wp:positionV relativeFrom="margin">
            <wp:posOffset>-687070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211" w:rsidRPr="00DA7211">
      <w:rPr>
        <w:b w:val="0"/>
        <w:bCs/>
        <w:szCs w:val="26"/>
        <w:rtl/>
        <w:lang w:val="en-GB"/>
      </w:rPr>
      <w:t xml:space="preserve">قائمة تدقيق العوامل </w:t>
    </w:r>
    <w:r w:rsidR="006F7030">
      <w:rPr>
        <w:rFonts w:hint="cs"/>
        <w:b w:val="0"/>
        <w:bCs/>
        <w:szCs w:val="26"/>
        <w:rtl/>
        <w:lang w:val="en-GB"/>
      </w:rPr>
      <w:t>السببية</w:t>
    </w:r>
    <w:r w:rsidR="00DA7211" w:rsidRPr="00DA7211">
      <w:rPr>
        <w:b w:val="0"/>
        <w:bCs/>
        <w:szCs w:val="26"/>
        <w:rtl/>
        <w:lang w:val="en-GB"/>
      </w:rPr>
      <w:t xml:space="preserve"> الخاصة بالمشروع</w:t>
    </w:r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5CD9"/>
    <w:multiLevelType w:val="hybridMultilevel"/>
    <w:tmpl w:val="911C6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146F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A19BD"/>
    <w:multiLevelType w:val="hybridMultilevel"/>
    <w:tmpl w:val="3B0CA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2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597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04D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3B73"/>
    <w:rsid w:val="000545A9"/>
    <w:rsid w:val="00054930"/>
    <w:rsid w:val="00054EB8"/>
    <w:rsid w:val="00055EB9"/>
    <w:rsid w:val="0005632D"/>
    <w:rsid w:val="000572E2"/>
    <w:rsid w:val="0006076D"/>
    <w:rsid w:val="00060CF1"/>
    <w:rsid w:val="00060F83"/>
    <w:rsid w:val="00061782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311"/>
    <w:rsid w:val="000833D4"/>
    <w:rsid w:val="0008379F"/>
    <w:rsid w:val="00083C9A"/>
    <w:rsid w:val="00090B40"/>
    <w:rsid w:val="00091B0C"/>
    <w:rsid w:val="00092AA6"/>
    <w:rsid w:val="00093042"/>
    <w:rsid w:val="00093AB3"/>
    <w:rsid w:val="00094187"/>
    <w:rsid w:val="00094D54"/>
    <w:rsid w:val="00095870"/>
    <w:rsid w:val="0009772C"/>
    <w:rsid w:val="00097840"/>
    <w:rsid w:val="00097C90"/>
    <w:rsid w:val="000A026C"/>
    <w:rsid w:val="000A208A"/>
    <w:rsid w:val="000A2C89"/>
    <w:rsid w:val="000A469D"/>
    <w:rsid w:val="000A64E6"/>
    <w:rsid w:val="000A6D1F"/>
    <w:rsid w:val="000A7EA6"/>
    <w:rsid w:val="000B12AF"/>
    <w:rsid w:val="000B20C8"/>
    <w:rsid w:val="000B365D"/>
    <w:rsid w:val="000B391E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47C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2A14"/>
    <w:rsid w:val="000E2EC5"/>
    <w:rsid w:val="000E3163"/>
    <w:rsid w:val="000E3C26"/>
    <w:rsid w:val="000E3E4E"/>
    <w:rsid w:val="000E6468"/>
    <w:rsid w:val="000E7BCD"/>
    <w:rsid w:val="000F0A74"/>
    <w:rsid w:val="000F1028"/>
    <w:rsid w:val="000F2FC3"/>
    <w:rsid w:val="000F31B1"/>
    <w:rsid w:val="000F5DD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6691"/>
    <w:rsid w:val="0011071D"/>
    <w:rsid w:val="00111D55"/>
    <w:rsid w:val="00112F25"/>
    <w:rsid w:val="00113020"/>
    <w:rsid w:val="00114874"/>
    <w:rsid w:val="00115DDA"/>
    <w:rsid w:val="00115EEA"/>
    <w:rsid w:val="00117232"/>
    <w:rsid w:val="0011743F"/>
    <w:rsid w:val="0012160A"/>
    <w:rsid w:val="00121FFB"/>
    <w:rsid w:val="001229D1"/>
    <w:rsid w:val="001240BE"/>
    <w:rsid w:val="001269A0"/>
    <w:rsid w:val="0013180F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1474"/>
    <w:rsid w:val="00164C31"/>
    <w:rsid w:val="001657C6"/>
    <w:rsid w:val="00167CA1"/>
    <w:rsid w:val="00170157"/>
    <w:rsid w:val="001702B6"/>
    <w:rsid w:val="001704B0"/>
    <w:rsid w:val="00170E89"/>
    <w:rsid w:val="00171292"/>
    <w:rsid w:val="00174132"/>
    <w:rsid w:val="00174D23"/>
    <w:rsid w:val="001776F2"/>
    <w:rsid w:val="00177C49"/>
    <w:rsid w:val="00180543"/>
    <w:rsid w:val="00180E21"/>
    <w:rsid w:val="00182402"/>
    <w:rsid w:val="00182A07"/>
    <w:rsid w:val="00182D18"/>
    <w:rsid w:val="0018317E"/>
    <w:rsid w:val="001834C4"/>
    <w:rsid w:val="0018491B"/>
    <w:rsid w:val="00185C86"/>
    <w:rsid w:val="0018697B"/>
    <w:rsid w:val="00187982"/>
    <w:rsid w:val="00190185"/>
    <w:rsid w:val="00190CCD"/>
    <w:rsid w:val="00191049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22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47E"/>
    <w:rsid w:val="001D3B26"/>
    <w:rsid w:val="001D3C4C"/>
    <w:rsid w:val="001D4EED"/>
    <w:rsid w:val="001D5D92"/>
    <w:rsid w:val="001D6426"/>
    <w:rsid w:val="001D75FC"/>
    <w:rsid w:val="001E009F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2E03"/>
    <w:rsid w:val="001F30E1"/>
    <w:rsid w:val="001F33B6"/>
    <w:rsid w:val="001F3567"/>
    <w:rsid w:val="001F38AE"/>
    <w:rsid w:val="001F38D0"/>
    <w:rsid w:val="001F40C2"/>
    <w:rsid w:val="001F68CA"/>
    <w:rsid w:val="001F73D1"/>
    <w:rsid w:val="002002FD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2E1"/>
    <w:rsid w:val="00213678"/>
    <w:rsid w:val="0021478C"/>
    <w:rsid w:val="0021568D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6190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6C9B"/>
    <w:rsid w:val="00267349"/>
    <w:rsid w:val="002732AA"/>
    <w:rsid w:val="00273A8A"/>
    <w:rsid w:val="00274360"/>
    <w:rsid w:val="002749D3"/>
    <w:rsid w:val="002757DC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5BC0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0E4F"/>
    <w:rsid w:val="002D3249"/>
    <w:rsid w:val="002D33B6"/>
    <w:rsid w:val="002D3E60"/>
    <w:rsid w:val="002D4527"/>
    <w:rsid w:val="002D4749"/>
    <w:rsid w:val="002D4C4B"/>
    <w:rsid w:val="002D5A57"/>
    <w:rsid w:val="002D5C25"/>
    <w:rsid w:val="002D64FB"/>
    <w:rsid w:val="002E0151"/>
    <w:rsid w:val="002E024B"/>
    <w:rsid w:val="002E082B"/>
    <w:rsid w:val="002E2680"/>
    <w:rsid w:val="002E3683"/>
    <w:rsid w:val="002E3929"/>
    <w:rsid w:val="002E6175"/>
    <w:rsid w:val="002E66C4"/>
    <w:rsid w:val="002E7AC0"/>
    <w:rsid w:val="002F1340"/>
    <w:rsid w:val="002F19E2"/>
    <w:rsid w:val="002F251A"/>
    <w:rsid w:val="002F3D92"/>
    <w:rsid w:val="002F3EC7"/>
    <w:rsid w:val="002F4D4E"/>
    <w:rsid w:val="002F5108"/>
    <w:rsid w:val="002F586F"/>
    <w:rsid w:val="002F5E71"/>
    <w:rsid w:val="002F7BF3"/>
    <w:rsid w:val="00300652"/>
    <w:rsid w:val="0030175D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0E4C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3A08"/>
    <w:rsid w:val="003343AB"/>
    <w:rsid w:val="003350D8"/>
    <w:rsid w:val="00336619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8EC"/>
    <w:rsid w:val="00354DC9"/>
    <w:rsid w:val="00355240"/>
    <w:rsid w:val="0035547A"/>
    <w:rsid w:val="00355E92"/>
    <w:rsid w:val="00356C4D"/>
    <w:rsid w:val="003614F1"/>
    <w:rsid w:val="00361D4D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5A4"/>
    <w:rsid w:val="00384D0C"/>
    <w:rsid w:val="003853C9"/>
    <w:rsid w:val="00385913"/>
    <w:rsid w:val="00385A33"/>
    <w:rsid w:val="00385E7F"/>
    <w:rsid w:val="00386177"/>
    <w:rsid w:val="00387E73"/>
    <w:rsid w:val="00391FDD"/>
    <w:rsid w:val="00392601"/>
    <w:rsid w:val="00394E4A"/>
    <w:rsid w:val="00396E88"/>
    <w:rsid w:val="0039763B"/>
    <w:rsid w:val="003A0003"/>
    <w:rsid w:val="003A0ACF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053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74C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0C3A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4228"/>
    <w:rsid w:val="00404765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514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9F4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411"/>
    <w:rsid w:val="00452D05"/>
    <w:rsid w:val="0045346F"/>
    <w:rsid w:val="00457ADD"/>
    <w:rsid w:val="004606BC"/>
    <w:rsid w:val="00460E68"/>
    <w:rsid w:val="00461ADF"/>
    <w:rsid w:val="0046503E"/>
    <w:rsid w:val="00465DCF"/>
    <w:rsid w:val="00465E46"/>
    <w:rsid w:val="00467352"/>
    <w:rsid w:val="004716D9"/>
    <w:rsid w:val="004730C7"/>
    <w:rsid w:val="00473DA6"/>
    <w:rsid w:val="00473FF8"/>
    <w:rsid w:val="004740FD"/>
    <w:rsid w:val="00474BAD"/>
    <w:rsid w:val="004758DB"/>
    <w:rsid w:val="00475EF0"/>
    <w:rsid w:val="00476C2C"/>
    <w:rsid w:val="0047757A"/>
    <w:rsid w:val="00477A36"/>
    <w:rsid w:val="00480C4D"/>
    <w:rsid w:val="004824C3"/>
    <w:rsid w:val="004824D1"/>
    <w:rsid w:val="004826F6"/>
    <w:rsid w:val="00483221"/>
    <w:rsid w:val="00483768"/>
    <w:rsid w:val="00484828"/>
    <w:rsid w:val="004854D3"/>
    <w:rsid w:val="00487475"/>
    <w:rsid w:val="004904D2"/>
    <w:rsid w:val="00491748"/>
    <w:rsid w:val="00491CAA"/>
    <w:rsid w:val="00492642"/>
    <w:rsid w:val="0049398F"/>
    <w:rsid w:val="00494ADB"/>
    <w:rsid w:val="00497921"/>
    <w:rsid w:val="004A07D8"/>
    <w:rsid w:val="004A0E44"/>
    <w:rsid w:val="004A1416"/>
    <w:rsid w:val="004A1547"/>
    <w:rsid w:val="004A1BAE"/>
    <w:rsid w:val="004A26FF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666F"/>
    <w:rsid w:val="004B7009"/>
    <w:rsid w:val="004B7F6F"/>
    <w:rsid w:val="004C013A"/>
    <w:rsid w:val="004C037F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69F"/>
    <w:rsid w:val="004D6BED"/>
    <w:rsid w:val="004E2148"/>
    <w:rsid w:val="004E2E95"/>
    <w:rsid w:val="004E4792"/>
    <w:rsid w:val="004E54C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11FE"/>
    <w:rsid w:val="00521F0F"/>
    <w:rsid w:val="005224F5"/>
    <w:rsid w:val="005225F2"/>
    <w:rsid w:val="00522EA1"/>
    <w:rsid w:val="0052304B"/>
    <w:rsid w:val="00526781"/>
    <w:rsid w:val="00527EEA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356E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31B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684E"/>
    <w:rsid w:val="00577E16"/>
    <w:rsid w:val="00581158"/>
    <w:rsid w:val="0058158B"/>
    <w:rsid w:val="00582519"/>
    <w:rsid w:val="0058312C"/>
    <w:rsid w:val="00583321"/>
    <w:rsid w:val="00583A98"/>
    <w:rsid w:val="00583BAF"/>
    <w:rsid w:val="00584617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2C83"/>
    <w:rsid w:val="005A43AB"/>
    <w:rsid w:val="005A4745"/>
    <w:rsid w:val="005A549D"/>
    <w:rsid w:val="005A5C73"/>
    <w:rsid w:val="005A6BDD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596D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F21"/>
    <w:rsid w:val="006073F1"/>
    <w:rsid w:val="00610A20"/>
    <w:rsid w:val="00610B33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10"/>
    <w:rsid w:val="006357C5"/>
    <w:rsid w:val="00635A88"/>
    <w:rsid w:val="0063666D"/>
    <w:rsid w:val="00636773"/>
    <w:rsid w:val="0063731B"/>
    <w:rsid w:val="0064052B"/>
    <w:rsid w:val="00640632"/>
    <w:rsid w:val="00641578"/>
    <w:rsid w:val="00641697"/>
    <w:rsid w:val="00645514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4DF"/>
    <w:rsid w:val="00656532"/>
    <w:rsid w:val="0066031F"/>
    <w:rsid w:val="0066114C"/>
    <w:rsid w:val="00661A1D"/>
    <w:rsid w:val="00661E7C"/>
    <w:rsid w:val="00662DDA"/>
    <w:rsid w:val="00664B46"/>
    <w:rsid w:val="00664DBF"/>
    <w:rsid w:val="00667A9F"/>
    <w:rsid w:val="00667C33"/>
    <w:rsid w:val="006700D6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49B1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08D1"/>
    <w:rsid w:val="006B113F"/>
    <w:rsid w:val="006B749A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38"/>
    <w:rsid w:val="006D2AA9"/>
    <w:rsid w:val="006D2B05"/>
    <w:rsid w:val="006D43CF"/>
    <w:rsid w:val="006D582C"/>
    <w:rsid w:val="006D5E16"/>
    <w:rsid w:val="006D718A"/>
    <w:rsid w:val="006E0946"/>
    <w:rsid w:val="006E2C79"/>
    <w:rsid w:val="006E3698"/>
    <w:rsid w:val="006E4664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030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E7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B0C"/>
    <w:rsid w:val="0072248F"/>
    <w:rsid w:val="00725FDB"/>
    <w:rsid w:val="00726045"/>
    <w:rsid w:val="007313ED"/>
    <w:rsid w:val="007324A2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28A0"/>
    <w:rsid w:val="00754576"/>
    <w:rsid w:val="00755A6E"/>
    <w:rsid w:val="00757817"/>
    <w:rsid w:val="00760DBA"/>
    <w:rsid w:val="0076289A"/>
    <w:rsid w:val="00763062"/>
    <w:rsid w:val="007635A7"/>
    <w:rsid w:val="00764715"/>
    <w:rsid w:val="007647EE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31C1"/>
    <w:rsid w:val="00773C69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35E"/>
    <w:rsid w:val="00787066"/>
    <w:rsid w:val="007900CC"/>
    <w:rsid w:val="0079082B"/>
    <w:rsid w:val="007926F5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4E6E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6E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4FDD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53E"/>
    <w:rsid w:val="008504CD"/>
    <w:rsid w:val="00850F09"/>
    <w:rsid w:val="0085178D"/>
    <w:rsid w:val="0085295E"/>
    <w:rsid w:val="008544C0"/>
    <w:rsid w:val="00855135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B46"/>
    <w:rsid w:val="008702BA"/>
    <w:rsid w:val="00870C5D"/>
    <w:rsid w:val="00870FD2"/>
    <w:rsid w:val="008712B0"/>
    <w:rsid w:val="00874993"/>
    <w:rsid w:val="00875804"/>
    <w:rsid w:val="008758CF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376A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3F8D"/>
    <w:rsid w:val="008E471C"/>
    <w:rsid w:val="008E4C08"/>
    <w:rsid w:val="008E627C"/>
    <w:rsid w:val="008E6F0F"/>
    <w:rsid w:val="008F0F45"/>
    <w:rsid w:val="008F1411"/>
    <w:rsid w:val="008F1770"/>
    <w:rsid w:val="008F1C0F"/>
    <w:rsid w:val="008F1E3E"/>
    <w:rsid w:val="008F218E"/>
    <w:rsid w:val="008F2FA1"/>
    <w:rsid w:val="008F3C53"/>
    <w:rsid w:val="008F444E"/>
    <w:rsid w:val="008F480C"/>
    <w:rsid w:val="008F4ABF"/>
    <w:rsid w:val="008F5AA0"/>
    <w:rsid w:val="0090073E"/>
    <w:rsid w:val="00904826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2BA8"/>
    <w:rsid w:val="009333E0"/>
    <w:rsid w:val="00933F73"/>
    <w:rsid w:val="009344AB"/>
    <w:rsid w:val="00934705"/>
    <w:rsid w:val="0093475F"/>
    <w:rsid w:val="00935EE5"/>
    <w:rsid w:val="00936CCD"/>
    <w:rsid w:val="009371B8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A60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523C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17D8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0BDF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3D47"/>
    <w:rsid w:val="009E5744"/>
    <w:rsid w:val="009E5B02"/>
    <w:rsid w:val="009E5DA3"/>
    <w:rsid w:val="009E5E2C"/>
    <w:rsid w:val="009E631C"/>
    <w:rsid w:val="009E6CD7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284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485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3FFB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6E3"/>
    <w:rsid w:val="00A55DB5"/>
    <w:rsid w:val="00A5612B"/>
    <w:rsid w:val="00A56956"/>
    <w:rsid w:val="00A57339"/>
    <w:rsid w:val="00A5737B"/>
    <w:rsid w:val="00A600EE"/>
    <w:rsid w:val="00A61D93"/>
    <w:rsid w:val="00A61FA4"/>
    <w:rsid w:val="00A634CB"/>
    <w:rsid w:val="00A66274"/>
    <w:rsid w:val="00A70118"/>
    <w:rsid w:val="00A717B9"/>
    <w:rsid w:val="00A72565"/>
    <w:rsid w:val="00A73F35"/>
    <w:rsid w:val="00A741AB"/>
    <w:rsid w:val="00A75E42"/>
    <w:rsid w:val="00A77EBC"/>
    <w:rsid w:val="00A809F2"/>
    <w:rsid w:val="00A81279"/>
    <w:rsid w:val="00A81C11"/>
    <w:rsid w:val="00A81CE5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254"/>
    <w:rsid w:val="00A96909"/>
    <w:rsid w:val="00A96D64"/>
    <w:rsid w:val="00A97337"/>
    <w:rsid w:val="00A97BFE"/>
    <w:rsid w:val="00AA0AF2"/>
    <w:rsid w:val="00AA17AD"/>
    <w:rsid w:val="00AA2266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131E"/>
    <w:rsid w:val="00AB2604"/>
    <w:rsid w:val="00AB2713"/>
    <w:rsid w:val="00AB2B2D"/>
    <w:rsid w:val="00AB342D"/>
    <w:rsid w:val="00AB3727"/>
    <w:rsid w:val="00AB3C25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5FE"/>
    <w:rsid w:val="00AE50A3"/>
    <w:rsid w:val="00AE64AA"/>
    <w:rsid w:val="00AE6D1B"/>
    <w:rsid w:val="00AE754D"/>
    <w:rsid w:val="00AE7958"/>
    <w:rsid w:val="00AF0BF6"/>
    <w:rsid w:val="00AF0FF7"/>
    <w:rsid w:val="00AF1333"/>
    <w:rsid w:val="00AF2270"/>
    <w:rsid w:val="00AF2843"/>
    <w:rsid w:val="00AF4DB9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06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23E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1D8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3D40"/>
    <w:rsid w:val="00BC4F5E"/>
    <w:rsid w:val="00BC4F81"/>
    <w:rsid w:val="00BC5428"/>
    <w:rsid w:val="00BC5DA6"/>
    <w:rsid w:val="00BC63FE"/>
    <w:rsid w:val="00BC6434"/>
    <w:rsid w:val="00BC6465"/>
    <w:rsid w:val="00BC64E2"/>
    <w:rsid w:val="00BC6A95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5F9D"/>
    <w:rsid w:val="00BF640F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5445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CD7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9EF"/>
    <w:rsid w:val="00C72048"/>
    <w:rsid w:val="00C7288C"/>
    <w:rsid w:val="00C734E5"/>
    <w:rsid w:val="00C740B8"/>
    <w:rsid w:val="00C75121"/>
    <w:rsid w:val="00C75595"/>
    <w:rsid w:val="00C75894"/>
    <w:rsid w:val="00C75CFF"/>
    <w:rsid w:val="00C76D56"/>
    <w:rsid w:val="00C8067A"/>
    <w:rsid w:val="00C80B3A"/>
    <w:rsid w:val="00C814FD"/>
    <w:rsid w:val="00C8217B"/>
    <w:rsid w:val="00C82A2C"/>
    <w:rsid w:val="00C8350D"/>
    <w:rsid w:val="00C83EA5"/>
    <w:rsid w:val="00C84022"/>
    <w:rsid w:val="00C847A8"/>
    <w:rsid w:val="00C8543E"/>
    <w:rsid w:val="00C8638D"/>
    <w:rsid w:val="00C87426"/>
    <w:rsid w:val="00C879DC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59F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474E"/>
    <w:rsid w:val="00CB56B2"/>
    <w:rsid w:val="00CB5C1D"/>
    <w:rsid w:val="00CB6143"/>
    <w:rsid w:val="00CB6D46"/>
    <w:rsid w:val="00CC109A"/>
    <w:rsid w:val="00CC1C82"/>
    <w:rsid w:val="00CC2E8F"/>
    <w:rsid w:val="00CC332D"/>
    <w:rsid w:val="00CC438E"/>
    <w:rsid w:val="00CC7939"/>
    <w:rsid w:val="00CD004D"/>
    <w:rsid w:val="00CD016A"/>
    <w:rsid w:val="00CD0BB4"/>
    <w:rsid w:val="00CD0E5F"/>
    <w:rsid w:val="00CD1219"/>
    <w:rsid w:val="00CD1283"/>
    <w:rsid w:val="00CD1426"/>
    <w:rsid w:val="00CD2012"/>
    <w:rsid w:val="00CD29CD"/>
    <w:rsid w:val="00CD33BA"/>
    <w:rsid w:val="00CD3E3B"/>
    <w:rsid w:val="00CD40CF"/>
    <w:rsid w:val="00CD5023"/>
    <w:rsid w:val="00CD62F8"/>
    <w:rsid w:val="00CE1213"/>
    <w:rsid w:val="00CE1A6F"/>
    <w:rsid w:val="00CE1D2D"/>
    <w:rsid w:val="00CE477B"/>
    <w:rsid w:val="00CE4F09"/>
    <w:rsid w:val="00CE5980"/>
    <w:rsid w:val="00CE5DD8"/>
    <w:rsid w:val="00CE6F54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1647"/>
    <w:rsid w:val="00D12576"/>
    <w:rsid w:val="00D132CA"/>
    <w:rsid w:val="00D1419E"/>
    <w:rsid w:val="00D14FE1"/>
    <w:rsid w:val="00D156CC"/>
    <w:rsid w:val="00D17ECC"/>
    <w:rsid w:val="00D203BF"/>
    <w:rsid w:val="00D21213"/>
    <w:rsid w:val="00D2141B"/>
    <w:rsid w:val="00D2144D"/>
    <w:rsid w:val="00D21992"/>
    <w:rsid w:val="00D21A19"/>
    <w:rsid w:val="00D22E95"/>
    <w:rsid w:val="00D23E4F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425"/>
    <w:rsid w:val="00D4670D"/>
    <w:rsid w:val="00D47B39"/>
    <w:rsid w:val="00D50137"/>
    <w:rsid w:val="00D517B0"/>
    <w:rsid w:val="00D520AF"/>
    <w:rsid w:val="00D52C06"/>
    <w:rsid w:val="00D53752"/>
    <w:rsid w:val="00D54818"/>
    <w:rsid w:val="00D549CE"/>
    <w:rsid w:val="00D561AC"/>
    <w:rsid w:val="00D5660E"/>
    <w:rsid w:val="00D5675B"/>
    <w:rsid w:val="00D57A63"/>
    <w:rsid w:val="00D57F8D"/>
    <w:rsid w:val="00D60A5F"/>
    <w:rsid w:val="00D62F6B"/>
    <w:rsid w:val="00D62F88"/>
    <w:rsid w:val="00D63B09"/>
    <w:rsid w:val="00D65A36"/>
    <w:rsid w:val="00D660AF"/>
    <w:rsid w:val="00D6695F"/>
    <w:rsid w:val="00D6703C"/>
    <w:rsid w:val="00D70018"/>
    <w:rsid w:val="00D7072A"/>
    <w:rsid w:val="00D71550"/>
    <w:rsid w:val="00D715CF"/>
    <w:rsid w:val="00D73CF9"/>
    <w:rsid w:val="00D7405A"/>
    <w:rsid w:val="00D74F92"/>
    <w:rsid w:val="00D76CF0"/>
    <w:rsid w:val="00D80565"/>
    <w:rsid w:val="00D838E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1F6F"/>
    <w:rsid w:val="00D931A2"/>
    <w:rsid w:val="00D93E98"/>
    <w:rsid w:val="00D9448F"/>
    <w:rsid w:val="00D94F43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211"/>
    <w:rsid w:val="00DA7A8A"/>
    <w:rsid w:val="00DA7B09"/>
    <w:rsid w:val="00DB0D9B"/>
    <w:rsid w:val="00DB1078"/>
    <w:rsid w:val="00DB2023"/>
    <w:rsid w:val="00DB3E18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5C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1B1E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B02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2B80"/>
    <w:rsid w:val="00E43C88"/>
    <w:rsid w:val="00E44556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AB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B76"/>
    <w:rsid w:val="00EB3AF6"/>
    <w:rsid w:val="00EB58E6"/>
    <w:rsid w:val="00EB6766"/>
    <w:rsid w:val="00EB6E00"/>
    <w:rsid w:val="00EB7AE8"/>
    <w:rsid w:val="00EC029F"/>
    <w:rsid w:val="00EC0653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064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B08"/>
    <w:rsid w:val="00F0166F"/>
    <w:rsid w:val="00F02A2B"/>
    <w:rsid w:val="00F03C0A"/>
    <w:rsid w:val="00F047B2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51C5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5F0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100A"/>
    <w:rsid w:val="00FA2094"/>
    <w:rsid w:val="00FA2A44"/>
    <w:rsid w:val="00FA59EA"/>
    <w:rsid w:val="00FA6C03"/>
    <w:rsid w:val="00FA7658"/>
    <w:rsid w:val="00FA7B23"/>
    <w:rsid w:val="00FA7D02"/>
    <w:rsid w:val="00FB19AF"/>
    <w:rsid w:val="00FB2569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5F73"/>
    <w:rsid w:val="00FD6B1C"/>
    <w:rsid w:val="00FD7149"/>
    <w:rsid w:val="00FD72A1"/>
    <w:rsid w:val="00FE1484"/>
    <w:rsid w:val="00FE1AA2"/>
    <w:rsid w:val="00FE1AB0"/>
    <w:rsid w:val="00FE3F3D"/>
    <w:rsid w:val="00FE478F"/>
    <w:rsid w:val="00FE4F9B"/>
    <w:rsid w:val="00FF04D8"/>
    <w:rsid w:val="00FF1628"/>
    <w:rsid w:val="00FF17FD"/>
    <w:rsid w:val="00FF3C62"/>
    <w:rsid w:val="00FF5BA4"/>
    <w:rsid w:val="00FF6B5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800D4A"/>
  <w15:docId w15:val="{3253C448-8BD2-452B-B98C-5F1B764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AB3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3AC2CCFE404BC0A38AA8D64510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44EA-F735-4A95-8DF1-CD6CA10592BA}"/>
      </w:docPartPr>
      <w:docPartBody>
        <w:p w:rsidR="00000000" w:rsidRDefault="00B9712C" w:rsidP="00B9712C">
          <w:pPr>
            <w:pStyle w:val="AB3AC2CCFE404BC0A38AA8D64510510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9C408CB30944BF389F0C0661BB9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6945-18B5-4415-BA70-47164E621B19}"/>
      </w:docPartPr>
      <w:docPartBody>
        <w:p w:rsidR="00000000" w:rsidRDefault="00B9712C" w:rsidP="00B9712C">
          <w:pPr>
            <w:pStyle w:val="19C408CB30944BF389F0C0661BB9596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7FE9EB82A224094951E20F989EE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F6DE-D923-4B9B-8A6F-0C0E86FE8501}"/>
      </w:docPartPr>
      <w:docPartBody>
        <w:p w:rsidR="00000000" w:rsidRDefault="00B9712C" w:rsidP="00B9712C">
          <w:pPr>
            <w:pStyle w:val="47FE9EB82A224094951E20F989EE8C6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7A98A49CC5A4523B9476EA883BD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F5EC-17E4-403F-90F1-FE5083804419}"/>
      </w:docPartPr>
      <w:docPartBody>
        <w:p w:rsidR="00000000" w:rsidRDefault="00B9712C" w:rsidP="00B9712C">
          <w:pPr>
            <w:pStyle w:val="97A98A49CC5A4523B9476EA883BD339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F7"/>
    <w:rsid w:val="008369F7"/>
    <w:rsid w:val="00B1201C"/>
    <w:rsid w:val="00B9712C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9712C"/>
    <w:rPr>
      <w:color w:val="808080"/>
    </w:rPr>
  </w:style>
  <w:style w:type="paragraph" w:customStyle="1" w:styleId="6B682E10D4854C2BBD3080659BCC9584">
    <w:name w:val="6B682E10D4854C2BBD3080659BCC9584"/>
    <w:rsid w:val="008369F7"/>
  </w:style>
  <w:style w:type="paragraph" w:customStyle="1" w:styleId="4AC2524F5F4247BD8FC8A3E25CF9C7E6">
    <w:name w:val="4AC2524F5F4247BD8FC8A3E25CF9C7E6"/>
    <w:rsid w:val="008369F7"/>
  </w:style>
  <w:style w:type="paragraph" w:customStyle="1" w:styleId="D753743252454A6E929F7A9A663FA888">
    <w:name w:val="D753743252454A6E929F7A9A663FA888"/>
    <w:rsid w:val="008369F7"/>
  </w:style>
  <w:style w:type="paragraph" w:customStyle="1" w:styleId="AF89ACB5BBC84B1687C8D57DDD874770">
    <w:name w:val="AF89ACB5BBC84B1687C8D57DDD874770"/>
    <w:rsid w:val="008369F7"/>
  </w:style>
  <w:style w:type="paragraph" w:customStyle="1" w:styleId="AB3AC2CCFE404BC0A38AA8D645105102">
    <w:name w:val="AB3AC2CCFE404BC0A38AA8D645105102"/>
    <w:rsid w:val="00B9712C"/>
    <w:pPr>
      <w:bidi/>
    </w:pPr>
  </w:style>
  <w:style w:type="paragraph" w:customStyle="1" w:styleId="1142F33427B740AA83786E8AAB652BC0">
    <w:name w:val="1142F33427B740AA83786E8AAB652BC0"/>
    <w:rsid w:val="00B9712C"/>
    <w:pPr>
      <w:bidi/>
    </w:pPr>
  </w:style>
  <w:style w:type="paragraph" w:customStyle="1" w:styleId="19C408CB30944BF389F0C0661BB95969">
    <w:name w:val="19C408CB30944BF389F0C0661BB95969"/>
    <w:rsid w:val="00B9712C"/>
    <w:pPr>
      <w:bidi/>
    </w:pPr>
  </w:style>
  <w:style w:type="paragraph" w:customStyle="1" w:styleId="47FE9EB82A224094951E20F989EE8C67">
    <w:name w:val="47FE9EB82A224094951E20F989EE8C67"/>
    <w:rsid w:val="00B9712C"/>
    <w:pPr>
      <w:bidi/>
    </w:pPr>
  </w:style>
  <w:style w:type="paragraph" w:customStyle="1" w:styleId="97A98A49CC5A4523B9476EA883BD339E">
    <w:name w:val="97A98A49CC5A4523B9476EA883BD339E"/>
    <w:rsid w:val="00B971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4A05312B-DE8E-48B8-B8F0-791E892B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424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INCIDENT NOTIFICATION REPORT</vt:lpstr>
    </vt:vector>
  </TitlesOfParts>
  <Company>Bechtel/EDS</Company>
  <LinksUpToDate>false</LinksUpToDate>
  <CharactersWithSpaces>7009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الإخطار بوقوع حوادث الخاص بالمشروع</dc:title>
  <dc:subject>EPM-KSS-TP-000024-AR Rev 000</dc:subject>
  <dc:creator>Joel Reyes</dc:creator>
  <cp:keywords>ᅟ</cp:keywords>
  <cp:lastModifiedBy>الاء الزهراني Alaa Alzahrani</cp:lastModifiedBy>
  <cp:revision>217</cp:revision>
  <cp:lastPrinted>2017-03-07T13:13:00Z</cp:lastPrinted>
  <dcterms:created xsi:type="dcterms:W3CDTF">2017-10-17T14:23:00Z</dcterms:created>
  <dcterms:modified xsi:type="dcterms:W3CDTF">2022-04-24T11:44:00Z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68107bf7-26fb-4c41-ae6c-7092008f0a98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